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8AB" w:rsidRPr="007313E2" w:rsidRDefault="001548AB" w:rsidP="00DA77EE">
      <w:pPr>
        <w:spacing w:line="48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  <w:sectPr w:rsidR="001548AB" w:rsidRPr="007313E2" w:rsidSect="006530FC">
          <w:headerReference w:type="default" r:id="rId8"/>
          <w:pgSz w:w="11907" w:h="16839" w:code="9"/>
          <w:pgMar w:top="1135" w:right="1440" w:bottom="1440" w:left="1440" w:header="720" w:footer="720" w:gutter="0"/>
          <w:cols w:space="720"/>
          <w:docGrid w:linePitch="360"/>
        </w:sectPr>
      </w:pPr>
      <w:bookmarkStart w:id="0" w:name="_Hlk39758068"/>
    </w:p>
    <w:p w:rsidR="00DE04D4" w:rsidRPr="007313E2" w:rsidRDefault="00DE04D4" w:rsidP="00DA77EE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Personality Traits and Perception of </w:t>
      </w:r>
      <w:r w:rsidR="0066413C"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Parenting</w:t>
      </w: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</w:p>
    <w:p w:rsidR="006E1716" w:rsidRPr="007313E2" w:rsidRDefault="006E1716" w:rsidP="006E1716">
      <w:pPr>
        <w:tabs>
          <w:tab w:val="left" w:pos="6504"/>
        </w:tabs>
        <w:spacing w:line="48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  <w:sectPr w:rsidR="006E1716" w:rsidRPr="007313E2" w:rsidSect="006530FC">
          <w:footnotePr>
            <w:numFmt w:val="chicago"/>
          </w:foot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The Comparative Twin Study from Germany and Serbia</w:t>
      </w:r>
    </w:p>
    <w:p w:rsidR="001548AB" w:rsidRPr="007313E2" w:rsidRDefault="001548AB" w:rsidP="002809DD">
      <w:pPr>
        <w:spacing w:line="48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Abstract</w:t>
      </w:r>
    </w:p>
    <w:p w:rsidR="001548AB" w:rsidRPr="007313E2" w:rsidRDefault="00D5571C" w:rsidP="002809DD">
      <w:pPr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This study examines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 etiology of the relationship between personality traits and </w:t>
      </w:r>
      <w:r w:rsidR="00C325D3" w:rsidRPr="007313E2">
        <w:rPr>
          <w:rFonts w:ascii="Times New Roman" w:hAnsi="Times New Roman" w:cs="Times New Roman"/>
          <w:noProof w:val="0"/>
          <w:sz w:val="24"/>
          <w:szCs w:val="24"/>
        </w:rPr>
        <w:t>perceived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A4F80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light of cross-cultural differences. The </w:t>
      </w:r>
      <w:r w:rsidR="00225DCE" w:rsidRPr="007313E2">
        <w:rPr>
          <w:rFonts w:ascii="Times New Roman" w:hAnsi="Times New Roman" w:cs="Times New Roman"/>
          <w:noProof w:val="0"/>
          <w:sz w:val="24"/>
          <w:szCs w:val="24"/>
        </w:rPr>
        <w:t>sample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consisted of 188</w:t>
      </w:r>
      <w:r w:rsidR="00C325D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Serbian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394</w:t>
      </w:r>
      <w:r w:rsidR="00C325D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German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twin pairs. Personality traits were measured using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NEO-personality inventory. A Blocks Environmental Questionnaire</w:t>
      </w:r>
      <w:r w:rsidR="00225D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(BEQ)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>was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applied to measure two dimensions of perceived </w:t>
      </w:r>
      <w:r w:rsidR="00197551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: support and organization. Genetic factors account for 63% - 79% of the variance for BEQ dimensions in both samples, while around 50% - 60% </w:t>
      </w:r>
      <w:r w:rsidR="00F47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the variance in Big Five personality scores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could be attributed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genetic factors.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>The e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xception was Neuroticism in the Serbian sample, where the genetic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was somewhat smaller. </w:t>
      </w:r>
      <w:r w:rsidR="007F13A6" w:rsidRPr="007313E2">
        <w:rPr>
          <w:rFonts w:ascii="Times New Roman" w:hAnsi="Times New Roman" w:cs="Times New Roman"/>
          <w:noProof w:val="0"/>
          <w:sz w:val="24"/>
          <w:szCs w:val="24"/>
        </w:rPr>
        <w:t>The r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esults ind</w:t>
      </w:r>
      <w:r w:rsidR="00FE1A72" w:rsidRPr="007313E2">
        <w:rPr>
          <w:rFonts w:ascii="Times New Roman" w:hAnsi="Times New Roman" w:cs="Times New Roman"/>
          <w:noProof w:val="0"/>
          <w:sz w:val="24"/>
          <w:szCs w:val="24"/>
        </w:rPr>
        <w:t>icated similar etiological path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>ways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relationship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between personality traits and perceived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, with some cultural differences</w:t>
      </w:r>
      <w:r w:rsidR="00036D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related to Neuroticism and Extraversion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. Negative Neuroticism-Support and positive Extraversion-Organization environmental relations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>hips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were stronger in the Serbian sample. Genetic overlaps were more significant in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German sample, except 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the relation</w:t>
      </w:r>
      <w:r w:rsidR="00125768" w:rsidRPr="007313E2">
        <w:rPr>
          <w:rFonts w:ascii="Times New Roman" w:hAnsi="Times New Roman" w:cs="Times New Roman"/>
          <w:noProof w:val="0"/>
          <w:sz w:val="24"/>
          <w:szCs w:val="24"/>
        </w:rPr>
        <w:t>ship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Organization with Conscientiousness and Extraversion. This indicates that the relationship between personality and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perceived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A4F80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is largely genetically mediated, but that </w:t>
      </w:r>
      <w:r w:rsidR="000001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environmental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play an important role in individu</w:t>
      </w:r>
      <w:r w:rsidR="00135163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 adaptation to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</w:t>
      </w:r>
      <w:r w:rsidR="00456A78" w:rsidRPr="007313E2">
        <w:rPr>
          <w:rFonts w:ascii="Times New Roman" w:hAnsi="Times New Roman" w:cs="Times New Roman"/>
          <w:noProof w:val="0"/>
          <w:sz w:val="24"/>
          <w:szCs w:val="24"/>
        </w:rPr>
        <w:t>setting</w:t>
      </w:r>
      <w:r w:rsidR="001548AB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1548AB" w:rsidRPr="007313E2" w:rsidRDefault="001548AB" w:rsidP="002809DD">
      <w:pPr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  <w:sectPr w:rsidR="001548AB" w:rsidRPr="007313E2" w:rsidSect="006530F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Keywords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: cross-cultural study</w:t>
      </w:r>
      <w:r w:rsidR="00135163" w:rsidRPr="007313E2">
        <w:rPr>
          <w:rFonts w:ascii="Times New Roman" w:hAnsi="Times New Roman" w:cs="Times New Roman"/>
          <w:noProof w:val="0"/>
          <w:sz w:val="24"/>
          <w:szCs w:val="24"/>
        </w:rPr>
        <w:t>;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perceived </w:t>
      </w:r>
      <w:r w:rsidR="008A4CF3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135163" w:rsidRPr="007313E2">
        <w:rPr>
          <w:rFonts w:ascii="Times New Roman" w:hAnsi="Times New Roman" w:cs="Times New Roman"/>
          <w:noProof w:val="0"/>
          <w:sz w:val="24"/>
          <w:szCs w:val="24"/>
        </w:rPr>
        <w:t>;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personality traits; twin study</w:t>
      </w:r>
    </w:p>
    <w:p w:rsidR="001548AB" w:rsidRPr="007313E2" w:rsidRDefault="001548AB" w:rsidP="00DE04D4">
      <w:pPr>
        <w:spacing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  <w:sectPr w:rsidR="001548AB" w:rsidRPr="007313E2" w:rsidSect="006530FC">
          <w:footnotePr>
            <w:numFmt w:val="chicago"/>
          </w:foot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548AB" w:rsidRPr="007313E2" w:rsidRDefault="001548AB" w:rsidP="00DE04D4">
      <w:pPr>
        <w:spacing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  <w:sectPr w:rsidR="001548AB" w:rsidRPr="007313E2" w:rsidSect="006530FC">
          <w:footnotePr>
            <w:numFmt w:val="chicago"/>
          </w:foot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787929" w:rsidRPr="007313E2" w:rsidRDefault="00373677" w:rsidP="0065603A">
      <w:pPr>
        <w:spacing w:line="48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Introduction</w:t>
      </w:r>
    </w:p>
    <w:p w:rsidR="00787929" w:rsidRPr="007313E2" w:rsidRDefault="007313E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809DD">
        <w:rPr>
          <w:rFonts w:ascii="Times New Roman" w:hAnsi="Times New Roman" w:cs="Times New Roman"/>
          <w:sz w:val="24"/>
          <w:szCs w:val="24"/>
          <w:shd w:val="clear" w:color="auto" w:fill="FFFFFF"/>
        </w:rPr>
        <w:t>Parents' rearing of children is a basic family function</w:t>
      </w:r>
      <w:r w:rsidRPr="002809D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6C113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Britto</w:t>
      </w:r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, 2018). However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D07C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children are not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only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passive recipients of environmental influences</w:t>
      </w:r>
      <w:r w:rsidR="00D7099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(Meunier</w:t>
      </w:r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D7099C" w:rsidRPr="007313E2">
        <w:rPr>
          <w:rFonts w:ascii="Times New Roman" w:hAnsi="Times New Roman" w:cs="Times New Roman"/>
          <w:noProof w:val="0"/>
          <w:sz w:val="24"/>
          <w:szCs w:val="24"/>
        </w:rPr>
        <w:t>, 2010)</w:t>
      </w:r>
      <w:r w:rsidR="000E227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since 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enotype</w:t>
      </w:r>
      <w:r w:rsidR="009D167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E2276" w:rsidRPr="007313E2">
        <w:rPr>
          <w:rFonts w:ascii="Times New Roman" w:hAnsi="Times New Roman" w:cs="Times New Roman"/>
          <w:noProof w:val="0"/>
          <w:sz w:val="24"/>
          <w:szCs w:val="24"/>
        </w:rPr>
        <w:t>also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predisposes children to modify their family environment</w:t>
      </w:r>
      <w:r w:rsidR="009447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</w:t>
      </w:r>
      <w:r w:rsidR="009447C3" w:rsidRPr="007313E2">
        <w:rPr>
          <w:rFonts w:ascii="Times New Roman" w:hAnsi="Times New Roman" w:cs="Times New Roman"/>
          <w:noProof w:val="0"/>
          <w:sz w:val="24"/>
          <w:szCs w:val="24"/>
        </w:rPr>
        <w:t>perceive it in certain ways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Moreover, </w:t>
      </w:r>
      <w:r w:rsidR="009447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low correlations between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observed </w:t>
      </w:r>
      <w:r w:rsidR="00C6225D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47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measures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and the subjective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>child</w:t>
      </w:r>
      <w:r w:rsidR="00E80B38" w:rsidRPr="007313E2">
        <w:rPr>
          <w:rFonts w:ascii="Times New Roman" w:hAnsi="Times New Roman" w:cs="Times New Roman"/>
          <w:noProof w:val="0"/>
          <w:sz w:val="24"/>
          <w:szCs w:val="24"/>
        </w:rPr>
        <w:t>ren’s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perception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r w:rsidR="00C6225D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suggest that these two constructs are </w:t>
      </w:r>
      <w:r w:rsidR="00912405" w:rsidRPr="007313E2">
        <w:rPr>
          <w:rFonts w:ascii="Times New Roman" w:hAnsi="Times New Roman" w:cs="Times New Roman"/>
          <w:noProof w:val="0"/>
          <w:sz w:val="24"/>
          <w:szCs w:val="24"/>
        </w:rPr>
        <w:t>distinct</w:t>
      </w:r>
      <w:r w:rsidR="00FC0E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9447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although </w:t>
      </w:r>
      <w:r w:rsidR="00FC0E7E" w:rsidRPr="007313E2">
        <w:rPr>
          <w:rFonts w:ascii="Times New Roman" w:hAnsi="Times New Roman" w:cs="Times New Roman"/>
          <w:noProof w:val="0"/>
          <w:sz w:val="24"/>
          <w:szCs w:val="24"/>
        </w:rPr>
        <w:t>related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phenomena (Finkel &amp; 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McGue</w:t>
      </w:r>
      <w:proofErr w:type="spellEnd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1993). </w:t>
      </w:r>
    </w:p>
    <w:p w:rsidR="00787929" w:rsidRPr="007313E2" w:rsidRDefault="007313E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809DD">
        <w:rPr>
          <w:rFonts w:ascii="Times New Roman" w:hAnsi="Times New Roman" w:cs="Times New Roman"/>
          <w:sz w:val="24"/>
          <w:szCs w:val="24"/>
          <w:shd w:val="clear" w:color="auto" w:fill="FFFFFF"/>
        </w:rPr>
        <w:t>Perceptions of the environment are also shaped, in part, by genetic factors</w:t>
      </w:r>
      <w:r w:rsidRPr="002809D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(see 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Vinkhuyzen</w:t>
      </w:r>
      <w:proofErr w:type="spellEnd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2010). </w:t>
      </w:r>
      <w:r w:rsidR="00D3647C" w:rsidRPr="007313E2">
        <w:rPr>
          <w:rFonts w:ascii="Times New Roman" w:hAnsi="Times New Roman" w:cs="Times New Roman"/>
          <w:noProof w:val="0"/>
          <w:sz w:val="24"/>
          <w:szCs w:val="24"/>
        </w:rPr>
        <w:t>Therefore, c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>hild</w:t>
      </w:r>
      <w:r w:rsidR="00011533" w:rsidRPr="007313E2">
        <w:rPr>
          <w:rFonts w:ascii="Times New Roman" w:hAnsi="Times New Roman" w:cs="Times New Roman"/>
          <w:noProof w:val="0"/>
          <w:sz w:val="24"/>
          <w:szCs w:val="24"/>
        </w:rPr>
        <w:t>ren’s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erception of </w:t>
      </w:r>
      <w:r w:rsidR="001851CF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be influenced by </w:t>
      </w:r>
      <w:r w:rsidR="00E3688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their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genetically predisposed characteristics</w:t>
      </w:r>
      <w:r w:rsidR="009443D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or m</w:t>
      </w:r>
      <w:r w:rsidR="00147EFB" w:rsidRPr="007313E2">
        <w:rPr>
          <w:rFonts w:ascii="Times New Roman" w:hAnsi="Times New Roman" w:cs="Times New Roman"/>
          <w:noProof w:val="0"/>
          <w:sz w:val="24"/>
          <w:szCs w:val="24"/>
        </w:rPr>
        <w:t>edia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ted through genetically </w:t>
      </w:r>
      <w:r w:rsidR="00456A7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influenced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personality traits</w:t>
      </w:r>
      <w:r w:rsidR="00D6162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(Plomin et al., 2008)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9443DE" w:rsidRPr="007313E2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7B689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 addition to having influence on the perception and memory of certain experiences,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genetic and environmental factors </w:t>
      </w:r>
      <w:r w:rsidR="007B689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influence</w:t>
      </w:r>
      <w:r w:rsidR="007B689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social cognition that arises as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product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social interactions. </w:t>
      </w:r>
      <w:r w:rsidR="003D67A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Therefore,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genotype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influence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the environment in different ways in which experience is perceived and stored in memory (</w:t>
      </w:r>
      <w:proofErr w:type="spellStart"/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Manuck</w:t>
      </w:r>
      <w:proofErr w:type="spellEnd"/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&amp; </w:t>
      </w:r>
      <w:proofErr w:type="spellStart"/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McCaferry</w:t>
      </w:r>
      <w:proofErr w:type="spellEnd"/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2014). </w:t>
      </w:r>
      <w:r w:rsidR="003614A1" w:rsidRPr="007313E2">
        <w:rPr>
          <w:rFonts w:ascii="Times New Roman" w:hAnsi="Times New Roman" w:cs="Times New Roman"/>
          <w:noProof w:val="0"/>
          <w:sz w:val="24"/>
          <w:szCs w:val="24"/>
        </w:rPr>
        <w:t>Also, 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ome genetically </w:t>
      </w:r>
      <w:r w:rsidR="005276DE" w:rsidRPr="007313E2">
        <w:rPr>
          <w:rFonts w:ascii="Times New Roman" w:hAnsi="Times New Roman" w:cs="Times New Roman"/>
          <w:noProof w:val="0"/>
          <w:sz w:val="24"/>
          <w:szCs w:val="24"/>
        </w:rPr>
        <w:t>based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characteristics make a person more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prone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exposure to certain types of </w:t>
      </w:r>
      <w:r w:rsidR="009443DE" w:rsidRPr="007313E2">
        <w:rPr>
          <w:rFonts w:ascii="Times New Roman" w:hAnsi="Times New Roman" w:cs="Times New Roman"/>
          <w:noProof w:val="0"/>
          <w:sz w:val="24"/>
          <w:szCs w:val="24"/>
        </w:rPr>
        <w:t>environment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(Plomin et al., 2008)</w:t>
      </w:r>
      <w:r w:rsidR="001851C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e.g., </w:t>
      </w:r>
      <w:r w:rsidR="00D628D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specific </w:t>
      </w:r>
      <w:r w:rsidR="001851CF" w:rsidRPr="007313E2">
        <w:rPr>
          <w:rFonts w:ascii="Times New Roman" w:hAnsi="Times New Roman" w:cs="Times New Roman"/>
          <w:noProof w:val="0"/>
          <w:sz w:val="24"/>
          <w:szCs w:val="24"/>
        </w:rPr>
        <w:t>actions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parents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6C7B21" w:rsidRPr="007313E2">
        <w:rPr>
          <w:rFonts w:ascii="Times New Roman" w:hAnsi="Times New Roman" w:cs="Times New Roman"/>
          <w:noProof w:val="0"/>
          <w:sz w:val="24"/>
          <w:szCs w:val="24"/>
        </w:rPr>
        <w:t>Thus</w:t>
      </w:r>
      <w:r w:rsidR="003D67A9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6C7B2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nvironment-related characteristics could be </w:t>
      </w:r>
      <w:r w:rsidR="00B409E7" w:rsidRPr="007313E2">
        <w:rPr>
          <w:rFonts w:ascii="Times New Roman" w:hAnsi="Times New Roman" w:cs="Times New Roman"/>
          <w:noProof w:val="0"/>
          <w:sz w:val="24"/>
          <w:szCs w:val="24"/>
        </w:rPr>
        <w:t>influenced by genes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due to </w:t>
      </w:r>
      <w:r w:rsidR="0039148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passive genotype-environment correlation (Plomin</w:t>
      </w:r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al., 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>2008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="00B409E7" w:rsidRPr="007313E2">
        <w:rPr>
          <w:rFonts w:ascii="Times New Roman" w:hAnsi="Times New Roman" w:cs="Times New Roman"/>
          <w:noProof w:val="0"/>
          <w:sz w:val="24"/>
          <w:szCs w:val="24"/>
        </w:rPr>
        <w:t>This type of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correlation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only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exists in biological families</w:t>
      </w:r>
      <w:r w:rsidR="009443D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3320C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can be </w:t>
      </w:r>
      <w:r w:rsidR="003614A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understood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the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A65E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the parent</w:t>
      </w:r>
      <w:r w:rsidR="00E44939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A65E1D" w:rsidRPr="007313E2">
        <w:rPr>
          <w:rFonts w:ascii="Times New Roman" w:hAnsi="Times New Roman" w:cs="Times New Roman"/>
          <w:noProof w:val="0"/>
          <w:sz w:val="24"/>
          <w:szCs w:val="24"/>
        </w:rPr>
        <w:t>’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genotype on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>the parent</w:t>
      </w:r>
      <w:r w:rsidR="00E44939" w:rsidRPr="007313E2">
        <w:rPr>
          <w:rFonts w:ascii="Times New Roman" w:hAnsi="Times New Roman" w:cs="Times New Roman"/>
          <w:noProof w:val="0"/>
          <w:sz w:val="24"/>
          <w:szCs w:val="24"/>
        </w:rPr>
        <w:t>s’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behavior</w:t>
      </w:r>
      <w:r w:rsidR="005276D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which is </w:t>
      </w:r>
      <w:r w:rsidR="003D67A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factor of the child</w:t>
      </w:r>
      <w:r w:rsidR="00F94094" w:rsidRPr="007313E2">
        <w:rPr>
          <w:rFonts w:ascii="Times New Roman" w:hAnsi="Times New Roman" w:cs="Times New Roman"/>
          <w:noProof w:val="0"/>
          <w:sz w:val="24"/>
          <w:szCs w:val="24"/>
        </w:rPr>
        <w:t>’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9737D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environment</w:t>
      </w:r>
      <w:r w:rsidR="00A87667" w:rsidRPr="007313E2">
        <w:rPr>
          <w:rFonts w:ascii="Times New Roman" w:hAnsi="Times New Roman" w:cs="Times New Roman"/>
          <w:noProof w:val="0"/>
          <w:sz w:val="24"/>
          <w:szCs w:val="24"/>
        </w:rPr>
        <w:t>. However, the parents’ genotype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276DE" w:rsidRPr="007313E2">
        <w:rPr>
          <w:rFonts w:ascii="Times New Roman" w:hAnsi="Times New Roman" w:cs="Times New Roman"/>
          <w:noProof w:val="0"/>
          <w:sz w:val="24"/>
          <w:szCs w:val="24"/>
        </w:rPr>
        <w:t>could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8501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correlate with the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child’s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genotype</w:t>
      </w:r>
      <w:r w:rsidR="00456A7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276D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due to the genes </w:t>
      </w:r>
      <w:r w:rsidR="003D67A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shared by </w:t>
      </w:r>
      <w:r w:rsidR="005276D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parents and children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Scarr</w:t>
      </w:r>
      <w:proofErr w:type="spellEnd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&amp; McCartney, 1983).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>A g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enetic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r w:rsidR="009C3F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environment 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 </w:t>
      </w:r>
      <w:r w:rsidR="009C3F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exist 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>due to evo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c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>ative and active gene-envir</w:t>
      </w:r>
      <w:r w:rsidR="0048490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onment correlations,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a </w:t>
      </w:r>
      <w:r w:rsidR="00484902" w:rsidRPr="007313E2">
        <w:rPr>
          <w:rFonts w:ascii="Times New Roman" w:hAnsi="Times New Roman" w:cs="Times New Roman"/>
          <w:noProof w:val="0"/>
          <w:sz w:val="24"/>
          <w:szCs w:val="24"/>
        </w:rPr>
        <w:t>person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>’s genetic dispositions can shape the environment.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Therefore, it is very important to identify the inheritance and acquisition of personality traits and </w:t>
      </w:r>
      <w:r w:rsidR="008825A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characteristics of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perceived </w:t>
      </w:r>
      <w:r w:rsidR="001851CF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order to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implement 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psychological interventions in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 appropriate 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manner. </w:t>
      </w:r>
      <w:r w:rsidRPr="002809DD">
        <w:rPr>
          <w:rFonts w:ascii="Times New Roman" w:hAnsi="Times New Roman" w:cs="Times New Roman"/>
          <w:sz w:val="24"/>
          <w:szCs w:val="24"/>
          <w:shd w:val="clear" w:color="auto" w:fill="FFFFFF"/>
        </w:rPr>
        <w:t>Personal traits that are more environmentally determined, and at the same time related to parenting, are potential targets for psychological support, in order to strengthen adaptation to the family environment</w:t>
      </w:r>
      <w:r w:rsidR="0082282A" w:rsidRPr="002809DD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5D3B0A" w:rsidRPr="002809D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482D92" w:rsidRPr="007313E2" w:rsidRDefault="00657C7E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The 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enetic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basis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personality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has been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well documented in previous twin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studies. </w:t>
      </w:r>
      <w:r w:rsidR="00F0626F" w:rsidRPr="007313E2">
        <w:rPr>
          <w:rFonts w:ascii="Times New Roman" w:hAnsi="Times New Roman" w:cs="Times New Roman"/>
          <w:noProof w:val="0"/>
          <w:sz w:val="24"/>
          <w:szCs w:val="24"/>
        </w:rPr>
        <w:t>For example, c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ross-cultural 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win studies</w:t>
      </w:r>
      <w:r w:rsidR="000B4C9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have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found that approximately 50% of the variance in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B0434" w:rsidRPr="007313E2">
        <w:rPr>
          <w:rFonts w:ascii="Times New Roman" w:hAnsi="Times New Roman" w:cs="Times New Roman"/>
          <w:noProof w:val="0"/>
          <w:sz w:val="24"/>
          <w:szCs w:val="24"/>
        </w:rPr>
        <w:t>B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ig </w:t>
      </w:r>
      <w:r w:rsidR="00EB0434" w:rsidRPr="007313E2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ive personality traits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attributable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genetic factors. These </w:t>
      </w:r>
      <w:r w:rsidR="009E5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findings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have</w:t>
      </w:r>
      <w:r w:rsidR="001044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also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been </w:t>
      </w:r>
      <w:r w:rsidR="009E5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suggested </w:t>
      </w:r>
      <w:r w:rsidR="00EB0434" w:rsidRPr="007313E2">
        <w:rPr>
          <w:rFonts w:ascii="Times New Roman" w:hAnsi="Times New Roman" w:cs="Times New Roman"/>
          <w:noProof w:val="0"/>
          <w:sz w:val="24"/>
          <w:szCs w:val="24"/>
        </w:rPr>
        <w:t>in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meta-analysis </w:t>
      </w:r>
      <w:r w:rsidR="00EB0434" w:rsidRPr="007313E2">
        <w:rPr>
          <w:rFonts w:ascii="Times New Roman" w:hAnsi="Times New Roman" w:cs="Times New Roman"/>
          <w:noProof w:val="0"/>
          <w:sz w:val="24"/>
          <w:szCs w:val="24"/>
        </w:rPr>
        <w:t>by</w:t>
      </w:r>
      <w:r w:rsidR="00F0626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F0626F" w:rsidRPr="007313E2">
        <w:rPr>
          <w:rFonts w:ascii="Times New Roman" w:hAnsi="Times New Roman" w:cs="Times New Roman"/>
          <w:noProof w:val="0"/>
          <w:sz w:val="24"/>
          <w:szCs w:val="24"/>
        </w:rPr>
        <w:t>Vukasović</w:t>
      </w:r>
      <w:proofErr w:type="spellEnd"/>
      <w:r w:rsidR="009F022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proofErr w:type="spellStart"/>
      <w:r w:rsidR="009F0224" w:rsidRPr="007313E2">
        <w:rPr>
          <w:rFonts w:ascii="Times New Roman" w:hAnsi="Times New Roman" w:cs="Times New Roman"/>
          <w:noProof w:val="0"/>
          <w:sz w:val="24"/>
          <w:szCs w:val="24"/>
        </w:rPr>
        <w:t>Bratko</w:t>
      </w:r>
      <w:proofErr w:type="spellEnd"/>
      <w:r w:rsidR="009F022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(2015)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some individual studies from different cultures, e.g., Croatia (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Bratko</w:t>
      </w:r>
      <w:proofErr w:type="spellEnd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9F0224" w:rsidRPr="007313E2">
        <w:rPr>
          <w:rFonts w:ascii="Times New Roman" w:hAnsi="Times New Roman" w:cs="Times New Roman"/>
          <w:noProof w:val="0"/>
          <w:sz w:val="24"/>
          <w:szCs w:val="24"/>
        </w:rPr>
        <w:t>, 2017)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and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Serbia (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Sadiković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, 2018)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787929" w:rsidRPr="007313E2" w:rsidRDefault="00482D9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According to some authors (</w:t>
      </w:r>
      <w:r w:rsidR="001C2F6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proofErr w:type="spellStart"/>
      <w:r w:rsidRPr="007313E2">
        <w:rPr>
          <w:rFonts w:ascii="Times New Roman" w:hAnsi="Times New Roman" w:cs="Times New Roman"/>
          <w:noProof w:val="0"/>
          <w:sz w:val="24"/>
          <w:szCs w:val="24"/>
        </w:rPr>
        <w:t>Shikishima</w:t>
      </w:r>
      <w:proofErr w:type="spellEnd"/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al., 2018)</w:t>
      </w:r>
      <w:r w:rsidR="00167B3A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57C7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environment shared by family </w:t>
      </w:r>
      <w:r w:rsidR="003A04F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members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does not play a significant role in shaping personality </w:t>
      </w:r>
      <w:r w:rsidR="003A04FE" w:rsidRPr="007313E2">
        <w:rPr>
          <w:rFonts w:ascii="Times New Roman" w:hAnsi="Times New Roman" w:cs="Times New Roman"/>
          <w:noProof w:val="0"/>
          <w:sz w:val="24"/>
          <w:szCs w:val="24"/>
        </w:rPr>
        <w:t>traits</w:t>
      </w:r>
      <w:r w:rsidR="00A967E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directly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1044E1" w:rsidRPr="007313E2">
        <w:rPr>
          <w:rFonts w:ascii="Times New Roman" w:hAnsi="Times New Roman" w:cs="Times New Roman"/>
          <w:noProof w:val="0"/>
          <w:sz w:val="24"/>
          <w:szCs w:val="24"/>
        </w:rPr>
        <w:t>However, t</w:t>
      </w:r>
      <w:r w:rsidR="009E5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his view 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seems somewhat inco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n</w:t>
      </w:r>
      <w:r w:rsidR="007B6737" w:rsidRPr="007313E2">
        <w:rPr>
          <w:rFonts w:ascii="Times New Roman" w:hAnsi="Times New Roman" w:cs="Times New Roman"/>
          <w:noProof w:val="0"/>
          <w:sz w:val="24"/>
          <w:szCs w:val="24"/>
        </w:rPr>
        <w:t>sistent with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E5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findings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that</w:t>
      </w:r>
      <w:r w:rsidR="00AF11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specific parenting styles </w:t>
      </w:r>
      <w:r w:rsidR="006D1471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63024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r w:rsidR="00E63BC0" w:rsidRPr="007313E2">
        <w:rPr>
          <w:rFonts w:ascii="Times New Roman" w:hAnsi="Times New Roman" w:cs="Times New Roman"/>
          <w:noProof w:val="0"/>
          <w:sz w:val="24"/>
          <w:szCs w:val="24"/>
        </w:rPr>
        <w:t>Caspi et al., 2010</w:t>
      </w:r>
      <w:r w:rsidR="006D147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contribute to the deve</w:t>
      </w:r>
      <w:r w:rsidR="00116CFF" w:rsidRPr="007313E2">
        <w:rPr>
          <w:rFonts w:ascii="Times New Roman" w:hAnsi="Times New Roman" w:cs="Times New Roman"/>
          <w:noProof w:val="0"/>
          <w:sz w:val="24"/>
          <w:szCs w:val="24"/>
        </w:rPr>
        <w:t>lopment of personality traits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0D5810" w:rsidRPr="007313E2">
        <w:rPr>
          <w:rFonts w:ascii="Times New Roman" w:hAnsi="Times New Roman" w:cs="Times New Roman"/>
          <w:noProof w:val="0"/>
          <w:sz w:val="24"/>
          <w:szCs w:val="24"/>
        </w:rPr>
        <w:t>Yet</w:t>
      </w:r>
      <w:r w:rsidR="009E5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observed and perceived </w:t>
      </w:r>
      <w:r w:rsidR="001851CF" w:rsidRPr="007313E2">
        <w:rPr>
          <w:rFonts w:ascii="Times New Roman" w:hAnsi="Times New Roman" w:cs="Times New Roman"/>
          <w:noProof w:val="0"/>
          <w:sz w:val="24"/>
          <w:szCs w:val="24"/>
        </w:rPr>
        <w:t>parenting style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are 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distinct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phenomena (Finkel &amp; </w:t>
      </w:r>
      <w:proofErr w:type="spellStart"/>
      <w:r w:rsidRPr="007313E2">
        <w:rPr>
          <w:rFonts w:ascii="Times New Roman" w:hAnsi="Times New Roman" w:cs="Times New Roman"/>
          <w:noProof w:val="0"/>
          <w:sz w:val="24"/>
          <w:szCs w:val="24"/>
        </w:rPr>
        <w:t>McGue</w:t>
      </w:r>
      <w:proofErr w:type="spellEnd"/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1993). </w:t>
      </w:r>
      <w:r w:rsidR="00D71983" w:rsidRPr="007313E2">
        <w:rPr>
          <w:rFonts w:ascii="Times New Roman" w:hAnsi="Times New Roman" w:cs="Times New Roman"/>
          <w:noProof w:val="0"/>
          <w:sz w:val="24"/>
          <w:szCs w:val="24"/>
        </w:rPr>
        <w:t>Namely, a p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arenting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style </w:t>
      </w:r>
      <w:r w:rsidR="00BB64C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could be 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seen </w:t>
      </w:r>
      <w:r w:rsidR="006C7B2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part of 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common environment for all children</w:t>
      </w:r>
      <w:r w:rsidR="001D572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D5721" w:rsidRPr="007313E2">
        <w:rPr>
          <w:rFonts w:ascii="Times New Roman" w:hAnsi="Times New Roman" w:cs="Times New Roman"/>
          <w:noProof w:val="0"/>
          <w:sz w:val="24"/>
          <w:szCs w:val="24"/>
        </w:rPr>
        <w:t>family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but </w:t>
      </w:r>
      <w:r w:rsidR="005B17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perception of parenting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seems </w:t>
      </w:r>
      <w:r w:rsidR="00927FC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depend more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 the individual experience of </w:t>
      </w:r>
      <w:r w:rsidR="00927FC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each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child. Therefore, </w:t>
      </w:r>
      <w:r w:rsidR="001D5721" w:rsidRPr="007313E2">
        <w:rPr>
          <w:rFonts w:ascii="Times New Roman" w:hAnsi="Times New Roman" w:cs="Times New Roman"/>
          <w:noProof w:val="0"/>
          <w:sz w:val="24"/>
          <w:szCs w:val="24"/>
        </w:rPr>
        <w:t>perceived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31FB7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27FC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 </w:t>
      </w:r>
      <w:r w:rsidR="00D92263" w:rsidRPr="007313E2">
        <w:rPr>
          <w:rFonts w:ascii="Times New Roman" w:hAnsi="Times New Roman" w:cs="Times New Roman"/>
          <w:noProof w:val="0"/>
          <w:sz w:val="24"/>
          <w:szCs w:val="24"/>
        </w:rPr>
        <w:t>partly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de</w:t>
      </w:r>
      <w:r w:rsidR="00FC0E7E" w:rsidRPr="007313E2">
        <w:rPr>
          <w:rFonts w:ascii="Times New Roman" w:hAnsi="Times New Roman" w:cs="Times New Roman"/>
          <w:noProof w:val="0"/>
          <w:sz w:val="24"/>
          <w:szCs w:val="24"/>
        </w:rPr>
        <w:t>termined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by </w:t>
      </w:r>
      <w:r w:rsidR="00927FC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geneti</w:t>
      </w:r>
      <w:r w:rsidR="00686DF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 bases of </w:t>
      </w:r>
      <w:r w:rsidR="0086677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1D572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child’s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personality traits.</w:t>
      </w:r>
      <w:r w:rsidR="00620BC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787929" w:rsidRPr="007313E2" w:rsidRDefault="00A31FB7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Previous results </w:t>
      </w:r>
      <w:r w:rsidR="009473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from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twin studies </w:t>
      </w:r>
      <w:r w:rsidR="009473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show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high heritability (</w:t>
      </w:r>
      <w:r w:rsidR="009473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about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40%</w:t>
      </w:r>
      <w:r w:rsidR="00F551CE" w:rsidRPr="007313E2">
        <w:rPr>
          <w:rFonts w:ascii="Times New Roman" w:hAnsi="Times New Roman" w:cs="Times New Roman"/>
          <w:noProof w:val="0"/>
          <w:sz w:val="24"/>
          <w:szCs w:val="24"/>
        </w:rPr>
        <w:t>, or even higher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 of </w:t>
      </w:r>
      <w:r w:rsidR="00F577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perception of</w:t>
      </w:r>
      <w:r w:rsidR="0086677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family support</w:t>
      </w:r>
      <w:r w:rsidR="009737D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Hur</w:t>
      </w:r>
      <w:proofErr w:type="spellEnd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&amp; Bouchard, 1995</w:t>
      </w:r>
      <w:r w:rsidR="002B1E79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Nevertheless, the 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>same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studies suggest a significant role </w:t>
      </w:r>
      <w:r w:rsidR="00DA76D9" w:rsidRPr="007313E2">
        <w:rPr>
          <w:rFonts w:ascii="Times New Roman" w:hAnsi="Times New Roman" w:cs="Times New Roman"/>
          <w:noProof w:val="0"/>
          <w:sz w:val="24"/>
          <w:szCs w:val="24"/>
        </w:rPr>
        <w:t>that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environment</w:t>
      </w:r>
      <w:r w:rsidR="00DA76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plays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shaping </w:t>
      </w:r>
      <w:r w:rsidR="0086677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perception of family organization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33028D" w:rsidRPr="007313E2">
        <w:rPr>
          <w:rFonts w:ascii="Times New Roman" w:hAnsi="Times New Roman" w:cs="Times New Roman"/>
          <w:noProof w:val="0"/>
          <w:sz w:val="24"/>
          <w:szCs w:val="24"/>
        </w:rPr>
        <w:t>ories o</w:t>
      </w:r>
      <w:r w:rsidR="00BF2A09" w:rsidRPr="007313E2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33028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16185" w:rsidRPr="007313E2">
        <w:rPr>
          <w:rFonts w:ascii="Times New Roman" w:hAnsi="Times New Roman" w:cs="Times New Roman"/>
          <w:noProof w:val="0"/>
          <w:sz w:val="24"/>
          <w:szCs w:val="24"/>
        </w:rPr>
        <w:t>seek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reveal 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mechanisms </w:t>
      </w:r>
      <w:r w:rsidR="00037D7E" w:rsidRPr="007313E2">
        <w:rPr>
          <w:rFonts w:ascii="Times New Roman" w:hAnsi="Times New Roman" w:cs="Times New Roman"/>
          <w:noProof w:val="0"/>
          <w:sz w:val="24"/>
          <w:szCs w:val="24"/>
        </w:rPr>
        <w:t>through which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genes contribute to this phenotype. The results of 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Kander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(200</w:t>
      </w:r>
      <w:r w:rsidR="00F02275">
        <w:rPr>
          <w:rFonts w:ascii="Times New Roman" w:hAnsi="Times New Roman" w:cs="Times New Roman"/>
          <w:noProof w:val="0"/>
          <w:sz w:val="24"/>
          <w:szCs w:val="24"/>
        </w:rPr>
        <w:t>8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) indicate the importance of personality traits as moderator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B64C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the relationship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between genes and</w:t>
      </w:r>
      <w:r w:rsidR="00ED0FA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Thus, 28% of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family support was explained by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genetic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personality traits, especially in case</w:t>
      </w:r>
      <w:r w:rsidR="00F423F9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Neuroticism (13%) and Extraversion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(7%). The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remainder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the variance was explained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mainly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by specific genetic and shared environmental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1421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the perception of family organization genetics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explain</w:t>
      </w:r>
      <w:r w:rsidR="00F423F9" w:rsidRPr="007313E2">
        <w:rPr>
          <w:rFonts w:ascii="Times New Roman" w:hAnsi="Times New Roman" w:cs="Times New Roman"/>
          <w:noProof w:val="0"/>
          <w:sz w:val="24"/>
          <w:szCs w:val="24"/>
        </w:rPr>
        <w:t>ed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9% of the variance </w:t>
      </w:r>
      <w:r w:rsidR="001421DF" w:rsidRPr="007313E2">
        <w:rPr>
          <w:rFonts w:ascii="Times New Roman" w:hAnsi="Times New Roman" w:cs="Times New Roman"/>
          <w:noProof w:val="0"/>
          <w:sz w:val="24"/>
          <w:szCs w:val="24"/>
        </w:rPr>
        <w:t>of personality traits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1421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and environmental factors</w:t>
      </w:r>
      <w:r w:rsidR="001421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explained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421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about 2%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Kandler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, 200</w:t>
      </w:r>
      <w:r w:rsidR="00F02275">
        <w:rPr>
          <w:rFonts w:ascii="Times New Roman" w:hAnsi="Times New Roman" w:cs="Times New Roman"/>
          <w:noProof w:val="0"/>
          <w:sz w:val="24"/>
          <w:szCs w:val="24"/>
        </w:rPr>
        <w:t>8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he most important role (34%)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shaping 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family </w:t>
      </w:r>
      <w:r w:rsidR="00C65032" w:rsidRPr="007313E2">
        <w:rPr>
          <w:rFonts w:ascii="Times New Roman" w:hAnsi="Times New Roman" w:cs="Times New Roman"/>
          <w:noProof w:val="0"/>
          <w:sz w:val="24"/>
          <w:szCs w:val="24"/>
        </w:rPr>
        <w:t>organization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73735" w:rsidRPr="007313E2">
        <w:rPr>
          <w:rFonts w:ascii="Times New Roman" w:hAnsi="Times New Roman" w:cs="Times New Roman"/>
          <w:noProof w:val="0"/>
          <w:sz w:val="24"/>
          <w:szCs w:val="24"/>
        </w:rPr>
        <w:t>wa</w:t>
      </w:r>
      <w:r w:rsidR="00EF1B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 played by the </w:t>
      </w:r>
      <w:r w:rsidR="006327B6" w:rsidRPr="007313E2">
        <w:rPr>
          <w:rFonts w:ascii="Times New Roman" w:hAnsi="Times New Roman" w:cs="Times New Roman"/>
          <w:noProof w:val="0"/>
          <w:sz w:val="24"/>
          <w:szCs w:val="24"/>
        </w:rPr>
        <w:t>non-shared</w:t>
      </w:r>
      <w:r w:rsidR="00484F3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environmental factor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8228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994C60" w:rsidRPr="007313E2" w:rsidRDefault="005F44E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It is known that the c</w:t>
      </w:r>
      <w:r w:rsidR="00102FC3" w:rsidRPr="007313E2">
        <w:rPr>
          <w:rFonts w:ascii="Times New Roman" w:hAnsi="Times New Roman" w:cs="Times New Roman"/>
          <w:noProof w:val="0"/>
          <w:sz w:val="24"/>
          <w:szCs w:val="24"/>
        </w:rPr>
        <w:t>ultur</w:t>
      </w:r>
      <w:r w:rsidR="00600782" w:rsidRPr="007313E2">
        <w:rPr>
          <w:rFonts w:ascii="Times New Roman" w:hAnsi="Times New Roman" w:cs="Times New Roman"/>
          <w:noProof w:val="0"/>
          <w:sz w:val="24"/>
          <w:szCs w:val="24"/>
        </w:rPr>
        <w:t>al environment</w:t>
      </w:r>
      <w:r w:rsidR="00102F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affects </w:t>
      </w:r>
      <w:r w:rsidR="00102FC3" w:rsidRPr="007313E2">
        <w:rPr>
          <w:rFonts w:ascii="Times New Roman" w:hAnsi="Times New Roman" w:cs="Times New Roman"/>
          <w:noProof w:val="0"/>
          <w:sz w:val="24"/>
          <w:szCs w:val="24"/>
        </w:rPr>
        <w:t>both personality (Hofstede &amp; McCrae, 2004) and family processes (</w:t>
      </w:r>
      <w:proofErr w:type="spellStart"/>
      <w:r w:rsidR="00102FC3" w:rsidRPr="007313E2">
        <w:rPr>
          <w:rFonts w:ascii="Times New Roman" w:hAnsi="Times New Roman" w:cs="Times New Roman"/>
          <w:noProof w:val="0"/>
          <w:sz w:val="24"/>
          <w:szCs w:val="24"/>
        </w:rPr>
        <w:t>Kagitcibasi</w:t>
      </w:r>
      <w:proofErr w:type="spellEnd"/>
      <w:r w:rsidR="00102F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2005). </w:t>
      </w:r>
      <w:r w:rsidR="00712FE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 that </w:t>
      </w:r>
      <w:r w:rsidR="004F0AEA" w:rsidRPr="007313E2">
        <w:rPr>
          <w:rFonts w:ascii="Times New Roman" w:hAnsi="Times New Roman" w:cs="Times New Roman"/>
          <w:noProof w:val="0"/>
          <w:sz w:val="24"/>
          <w:szCs w:val="24"/>
        </w:rPr>
        <w:t>reason,</w:t>
      </w:r>
      <w:r w:rsidR="00712FE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ross-cultural studies in behavioral genetics aim to examine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6327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degree and type of genetic and environmental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CF2A3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phenotype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relation to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culture. Different </w:t>
      </w:r>
      <w:r w:rsidR="00765373" w:rsidRPr="007313E2">
        <w:rPr>
          <w:rFonts w:ascii="Times New Roman" w:hAnsi="Times New Roman" w:cs="Times New Roman"/>
          <w:noProof w:val="0"/>
          <w:sz w:val="24"/>
          <w:szCs w:val="24"/>
        </w:rPr>
        <w:t>findings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67AF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have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suggested </w:t>
      </w:r>
      <w:r w:rsidR="008F05D3" w:rsidRPr="007313E2">
        <w:rPr>
          <w:rFonts w:ascii="Times New Roman" w:hAnsi="Times New Roman" w:cs="Times New Roman"/>
          <w:noProof w:val="0"/>
          <w:sz w:val="24"/>
          <w:szCs w:val="24"/>
        </w:rPr>
        <w:t>th</w:t>
      </w:r>
      <w:r w:rsidR="00560A5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genetic and environmental </w:t>
      </w:r>
      <w:r w:rsidR="00560A5E" w:rsidRPr="007313E2">
        <w:rPr>
          <w:rFonts w:ascii="Times New Roman" w:hAnsi="Times New Roman" w:cs="Times New Roman"/>
          <w:noProof w:val="0"/>
          <w:sz w:val="24"/>
          <w:szCs w:val="24"/>
        </w:rPr>
        <w:t>factors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60A5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have </w:t>
      </w:r>
      <w:r w:rsidR="001753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similar </w:t>
      </w:r>
      <w:r w:rsidR="00560A5E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175354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560A5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 personality traits in </w:t>
      </w:r>
      <w:r w:rsidR="005F3D5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both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Canadian and German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twin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sample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6327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765373" w:rsidRPr="007313E2">
        <w:rPr>
          <w:rFonts w:ascii="Times New Roman" w:hAnsi="Times New Roman" w:cs="Times New Roman"/>
          <w:noProof w:val="0"/>
          <w:sz w:val="24"/>
          <w:szCs w:val="24"/>
        </w:rPr>
        <w:t>Jang et al., 2006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However, </w:t>
      </w:r>
      <w:r w:rsidR="00821A6E" w:rsidRPr="007313E2">
        <w:rPr>
          <w:rFonts w:ascii="Times New Roman" w:hAnsi="Times New Roman" w:cs="Times New Roman"/>
          <w:noProof w:val="0"/>
          <w:sz w:val="24"/>
          <w:szCs w:val="24"/>
        </w:rPr>
        <w:t>other</w:t>
      </w:r>
      <w:r w:rsidR="002B1E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results (Jang et al., 2002) suggest that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cultur</w:t>
      </w:r>
      <w:r w:rsidR="00600782" w:rsidRPr="007313E2">
        <w:rPr>
          <w:rFonts w:ascii="Times New Roman" w:hAnsi="Times New Roman" w:cs="Times New Roman"/>
          <w:noProof w:val="0"/>
          <w:sz w:val="24"/>
          <w:szCs w:val="24"/>
        </w:rPr>
        <w:t>al environment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67AF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has been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important for more specific personality</w:t>
      </w:r>
      <w:r w:rsidR="006327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traits,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but not for traits in general. </w:t>
      </w:r>
    </w:p>
    <w:p w:rsidR="00994C60" w:rsidRPr="007313E2" w:rsidRDefault="00CF2A3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The a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ssessment of family characteristics t</w:t>
      </w:r>
      <w:r w:rsidR="00D92263" w:rsidRPr="007313E2">
        <w:rPr>
          <w:rFonts w:ascii="Times New Roman" w:hAnsi="Times New Roman" w:cs="Times New Roman"/>
          <w:noProof w:val="0"/>
          <w:sz w:val="24"/>
          <w:szCs w:val="24"/>
        </w:rPr>
        <w:t>h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rough biometrical genetic modeling </w:t>
      </w:r>
      <w:r w:rsidR="00C67AF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still very rare. An extensive </w:t>
      </w:r>
      <w:r w:rsidR="0047373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literature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search suggests that only one cross-cultural 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twin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study </w:t>
      </w:r>
      <w:r w:rsidR="00204A6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has </w:t>
      </w:r>
      <w:r w:rsidR="0047373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so far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examined the genetic and environmental etiology of parenting</w:t>
      </w:r>
      <w:r w:rsidR="006327B6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>thi</w:t>
      </w:r>
      <w:r w:rsidR="002B1E79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study (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Shikishima</w:t>
      </w:r>
      <w:proofErr w:type="spellEnd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2012) parenting </w:t>
      </w:r>
      <w:r w:rsidR="009463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="00C709B0" w:rsidRPr="007313E2">
        <w:rPr>
          <w:rFonts w:ascii="Times New Roman" w:hAnsi="Times New Roman" w:cs="Times New Roman"/>
          <w:noProof w:val="0"/>
          <w:sz w:val="24"/>
          <w:szCs w:val="24"/>
        </w:rPr>
        <w:t>found</w:t>
      </w:r>
      <w:r w:rsidR="009463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have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 genetic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the Japanese sample </w:t>
      </w:r>
      <w:r w:rsidR="00D2060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and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 environmental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the Swedish sample. The authors explained their results 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with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cultural differences between East</w:t>
      </w:r>
      <w:r w:rsidR="00C12E52" w:rsidRPr="007313E2">
        <w:rPr>
          <w:rFonts w:ascii="Times New Roman" w:hAnsi="Times New Roman" w:cs="Times New Roman"/>
          <w:noProof w:val="0"/>
          <w:sz w:val="24"/>
          <w:szCs w:val="24"/>
        </w:rPr>
        <w:t>ern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West</w:t>
      </w:r>
      <w:r w:rsidR="00C12E52" w:rsidRPr="007313E2">
        <w:rPr>
          <w:rFonts w:ascii="Times New Roman" w:hAnsi="Times New Roman" w:cs="Times New Roman"/>
          <w:noProof w:val="0"/>
          <w:sz w:val="24"/>
          <w:szCs w:val="24"/>
        </w:rPr>
        <w:t>ern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cultures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3F5179" w:rsidRPr="007313E2">
        <w:rPr>
          <w:rFonts w:ascii="Times New Roman" w:hAnsi="Times New Roman" w:cs="Times New Roman"/>
          <w:noProof w:val="0"/>
          <w:sz w:val="24"/>
          <w:szCs w:val="24"/>
        </w:rPr>
        <w:t>Namely, p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arenting in Eastern societies </w:t>
      </w:r>
      <w:r w:rsidR="00D2060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 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>interdependent</w:t>
      </w:r>
      <w:r w:rsidR="00B8322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child-centered, </w:t>
      </w:r>
      <w:r w:rsidR="00D2060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while 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Western societies </w:t>
      </w:r>
      <w:r w:rsidR="00D2060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 was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parent-centered and individualistic, which </w:t>
      </w:r>
      <w:r w:rsidR="00D2060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consistent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with s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>ome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defining studies in cultural psychology (</w:t>
      </w:r>
      <w:r w:rsidR="00D5750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Markus &amp; </w:t>
      </w:r>
      <w:proofErr w:type="spellStart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Kitayama</w:t>
      </w:r>
      <w:proofErr w:type="spellEnd"/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1991). 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>In contrast to this conclusion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, German results (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Kandler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, 200</w:t>
      </w:r>
      <w:r w:rsidR="00F02275">
        <w:rPr>
          <w:rFonts w:ascii="Times New Roman" w:hAnsi="Times New Roman" w:cs="Times New Roman"/>
          <w:noProof w:val="0"/>
          <w:sz w:val="24"/>
          <w:szCs w:val="24"/>
        </w:rPr>
        <w:t>8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 suggest more genetic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r w:rsidR="000E665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dimensions of 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parenting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</w:t>
      </w:r>
      <w:r w:rsidR="00D149D9" w:rsidRPr="007313E2">
        <w:rPr>
          <w:rFonts w:ascii="Times New Roman" w:hAnsi="Times New Roman" w:cs="Times New Roman"/>
          <w:noProof w:val="0"/>
          <w:sz w:val="24"/>
          <w:szCs w:val="24"/>
        </w:rPr>
        <w:t>compared to E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>astern cultures (e.g., Russian</w:t>
      </w:r>
      <w:r w:rsidR="005D2EB1" w:rsidRPr="007313E2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Barsky</w:t>
      </w:r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1F2B32" w:rsidRPr="007313E2">
        <w:rPr>
          <w:rFonts w:ascii="Times New Roman" w:hAnsi="Times New Roman" w:cs="Times New Roman"/>
          <w:noProof w:val="0"/>
          <w:sz w:val="24"/>
          <w:szCs w:val="24"/>
        </w:rPr>
        <w:t>, 2010)</w:t>
      </w:r>
      <w:r w:rsidR="00DC20B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148D2" w:rsidRPr="007313E2">
        <w:rPr>
          <w:rFonts w:ascii="Times New Roman" w:hAnsi="Times New Roman" w:cs="Times New Roman"/>
          <w:noProof w:val="0"/>
          <w:sz w:val="24"/>
          <w:szCs w:val="24"/>
        </w:rPr>
        <w:t>and</w:t>
      </w:r>
      <w:r w:rsidR="00DC20B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there is no clear research evidence from Serbia. </w:t>
      </w:r>
    </w:p>
    <w:p w:rsidR="00482D92" w:rsidRPr="007313E2" w:rsidRDefault="002E6528" w:rsidP="002809DD">
      <w:pPr>
        <w:spacing w:after="0" w:line="48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According to </w:t>
      </w:r>
      <w:proofErr w:type="spellStart"/>
      <w:r w:rsidRPr="007313E2">
        <w:rPr>
          <w:rFonts w:ascii="Times New Roman" w:hAnsi="Times New Roman" w:cs="Times New Roman"/>
          <w:noProof w:val="0"/>
          <w:sz w:val="24"/>
          <w:szCs w:val="24"/>
        </w:rPr>
        <w:t>Savić</w:t>
      </w:r>
      <w:proofErr w:type="spellEnd"/>
      <w:r w:rsidR="00DC20B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2014), Serbia could not be </w:t>
      </w:r>
      <w:r w:rsidR="00434EA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labeled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either </w:t>
      </w:r>
      <w:r w:rsidR="00CF2A3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an Eastern or a Western culture</w:t>
      </w:r>
      <w:r w:rsidR="009266B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because it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has a lower Cultural Globalization Index (74.</w:t>
      </w:r>
      <w:r w:rsidR="00852229" w:rsidRPr="007313E2">
        <w:rPr>
          <w:rFonts w:ascii="Times New Roman" w:hAnsi="Times New Roman" w:cs="Times New Roman"/>
          <w:noProof w:val="0"/>
          <w:sz w:val="24"/>
          <w:szCs w:val="24"/>
        </w:rPr>
        <w:t>63) compared to Germany (89.38)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52229" w:rsidRPr="007313E2">
        <w:rPr>
          <w:rFonts w:ascii="Times New Roman" w:hAnsi="Times New Roman" w:cs="Times New Roman"/>
          <w:noProof w:val="0"/>
          <w:sz w:val="24"/>
          <w:szCs w:val="24"/>
        </w:rPr>
        <w:t>but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higher than Russia (67.39) </w:t>
      </w:r>
      <w:r w:rsidR="00B148D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proofErr w:type="spellStart"/>
      <w:r w:rsidR="00B148D2" w:rsidRPr="007313E2">
        <w:rPr>
          <w:rFonts w:ascii="Times New Roman" w:hAnsi="Times New Roman" w:cs="Times New Roman"/>
          <w:noProof w:val="0"/>
          <w:sz w:val="24"/>
          <w:szCs w:val="24"/>
        </w:rPr>
        <w:t>Gygli</w:t>
      </w:r>
      <w:proofErr w:type="spellEnd"/>
      <w:r w:rsidR="00B148D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 (2019)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7313E2">
        <w:rPr>
          <w:rFonts w:cstheme="minorHAnsi"/>
          <w:noProof w:val="0"/>
          <w:sz w:val="24"/>
          <w:szCs w:val="24"/>
        </w:rPr>
        <w:t xml:space="preserve"> </w:t>
      </w:r>
      <w:r w:rsidR="00B17C9E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 xml:space="preserve">ome differences </w:t>
      </w:r>
      <w:r w:rsidR="00B17C9E" w:rsidRPr="007313E2">
        <w:rPr>
          <w:rFonts w:ascii="Times New Roman" w:hAnsi="Times New Roman"/>
          <w:noProof w:val="0"/>
          <w:sz w:val="24"/>
          <w:szCs w:val="24"/>
        </w:rPr>
        <w:t xml:space="preserve">in </w:t>
      </w:r>
      <w:r w:rsidR="00572249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="00434EAA" w:rsidRPr="007313E2">
        <w:rPr>
          <w:rFonts w:ascii="Times New Roman" w:hAnsi="Times New Roman"/>
          <w:noProof w:val="0"/>
          <w:sz w:val="24"/>
          <w:szCs w:val="24"/>
        </w:rPr>
        <w:t>daily</w:t>
      </w:r>
      <w:r w:rsidR="006327B6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17C9E" w:rsidRPr="007313E2">
        <w:rPr>
          <w:rFonts w:ascii="Times New Roman" w:hAnsi="Times New Roman"/>
          <w:noProof w:val="0"/>
          <w:sz w:val="24"/>
          <w:szCs w:val="24"/>
        </w:rPr>
        <w:t xml:space="preserve">life 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 xml:space="preserve">in 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>Serbia and German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>y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B0191" w:rsidRPr="007313E2">
        <w:rPr>
          <w:rFonts w:ascii="Times New Roman" w:hAnsi="Times New Roman"/>
          <w:noProof w:val="0"/>
          <w:sz w:val="24"/>
          <w:szCs w:val="24"/>
        </w:rPr>
        <w:t xml:space="preserve">can also 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 xml:space="preserve">be </w:t>
      </w:r>
      <w:r w:rsidR="006B0191" w:rsidRPr="007313E2">
        <w:rPr>
          <w:rFonts w:ascii="Times New Roman" w:hAnsi="Times New Roman"/>
          <w:noProof w:val="0"/>
          <w:sz w:val="24"/>
          <w:szCs w:val="24"/>
        </w:rPr>
        <w:t xml:space="preserve">associated with 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>different levels of economic development and personal freedom.</w:t>
      </w:r>
      <w:r w:rsidR="00566FBE" w:rsidRPr="007313E2">
        <w:rPr>
          <w:rFonts w:ascii="Times New Roman" w:hAnsi="Times New Roman"/>
          <w:noProof w:val="0"/>
          <w:sz w:val="24"/>
          <w:szCs w:val="24"/>
        </w:rPr>
        <w:t xml:space="preserve"> Firstly, i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>n 2018</w:t>
      </w:r>
      <w:r w:rsidR="00AF751E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 xml:space="preserve"> GDP per capita in Germany was $47</w:t>
      </w:r>
      <w:r w:rsidR="00AF751E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>603, and in Serb</w:t>
      </w:r>
      <w:r w:rsidR="00FB6B52" w:rsidRPr="007313E2">
        <w:rPr>
          <w:rFonts w:ascii="Times New Roman" w:hAnsi="Times New Roman"/>
          <w:noProof w:val="0"/>
          <w:sz w:val="24"/>
          <w:szCs w:val="24"/>
        </w:rPr>
        <w:t>ia $7</w:t>
      </w:r>
      <w:r w:rsidR="00AF751E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FB6B52" w:rsidRPr="007313E2">
        <w:rPr>
          <w:rFonts w:ascii="Times New Roman" w:hAnsi="Times New Roman"/>
          <w:noProof w:val="0"/>
          <w:sz w:val="24"/>
          <w:szCs w:val="24"/>
        </w:rPr>
        <w:t>246 (World Bank, 2015)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. </w:t>
      </w:r>
      <w:r w:rsidR="00566FBE" w:rsidRPr="007313E2">
        <w:rPr>
          <w:rFonts w:ascii="Times New Roman" w:hAnsi="Times New Roman"/>
          <w:noProof w:val="0"/>
          <w:sz w:val="24"/>
          <w:szCs w:val="24"/>
        </w:rPr>
        <w:t>Secondly, t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he </w:t>
      </w:r>
      <w:r w:rsidR="00FB6B52" w:rsidRPr="007313E2">
        <w:rPr>
          <w:rFonts w:ascii="Times New Roman" w:hAnsi="Times New Roman"/>
          <w:noProof w:val="0"/>
          <w:sz w:val="24"/>
          <w:szCs w:val="24"/>
        </w:rPr>
        <w:t>p</w:t>
      </w:r>
      <w:r w:rsidR="008D0A8E" w:rsidRPr="007313E2">
        <w:rPr>
          <w:rFonts w:ascii="Times New Roman" w:hAnsi="Times New Roman"/>
          <w:noProof w:val="0"/>
          <w:sz w:val="24"/>
          <w:szCs w:val="24"/>
        </w:rPr>
        <w:t xml:space="preserve">ersonal freedom index for Germany and Serbia was 9.42 and 7.85, respectively (Vásquez &amp; </w:t>
      </w:r>
      <w:proofErr w:type="spellStart"/>
      <w:r w:rsidR="008D0A8E" w:rsidRPr="007313E2">
        <w:rPr>
          <w:rFonts w:ascii="Times New Roman" w:hAnsi="Times New Roman"/>
          <w:noProof w:val="0"/>
          <w:sz w:val="24"/>
          <w:szCs w:val="24"/>
        </w:rPr>
        <w:t>Porčnik</w:t>
      </w:r>
      <w:proofErr w:type="spellEnd"/>
      <w:r w:rsidR="008D0A8E" w:rsidRPr="007313E2">
        <w:rPr>
          <w:rFonts w:ascii="Times New Roman" w:hAnsi="Times New Roman"/>
          <w:noProof w:val="0"/>
          <w:sz w:val="24"/>
          <w:szCs w:val="24"/>
        </w:rPr>
        <w:t xml:space="preserve">, 2018). </w:t>
      </w:r>
      <w:r w:rsidR="00566FBE" w:rsidRPr="007313E2">
        <w:rPr>
          <w:rFonts w:ascii="Times New Roman" w:hAnsi="Times New Roman"/>
          <w:noProof w:val="0"/>
          <w:sz w:val="24"/>
          <w:szCs w:val="24"/>
        </w:rPr>
        <w:t>Finally</w:t>
      </w:r>
      <w:r w:rsidR="009E06E2" w:rsidRPr="007313E2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>German and Serbian</w:t>
      </w:r>
      <w:r w:rsidR="009E06E2" w:rsidRPr="007313E2">
        <w:rPr>
          <w:rFonts w:ascii="Times New Roman" w:hAnsi="Times New Roman"/>
          <w:noProof w:val="0"/>
          <w:sz w:val="24"/>
          <w:szCs w:val="24"/>
        </w:rPr>
        <w:t xml:space="preserve"> cultures differ 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>on</w:t>
      </w:r>
      <w:r w:rsidR="00572249" w:rsidRPr="007313E2">
        <w:rPr>
          <w:rFonts w:ascii="Times New Roman" w:hAnsi="Times New Roman"/>
          <w:noProof w:val="0"/>
          <w:sz w:val="24"/>
          <w:szCs w:val="24"/>
        </w:rPr>
        <w:t xml:space="preserve"> the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 dimensions </w:t>
      </w:r>
      <w:r w:rsidR="00175354" w:rsidRPr="007313E2">
        <w:rPr>
          <w:rFonts w:ascii="Times New Roman" w:hAnsi="Times New Roman"/>
          <w:noProof w:val="0"/>
          <w:sz w:val="24"/>
          <w:szCs w:val="24"/>
        </w:rPr>
        <w:t>of national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 xml:space="preserve"> culture</w:t>
      </w:r>
      <w:r w:rsidR="009E06E2" w:rsidRPr="007313E2">
        <w:rPr>
          <w:rFonts w:ascii="Times New Roman" w:hAnsi="Times New Roman"/>
          <w:noProof w:val="0"/>
          <w:sz w:val="24"/>
          <w:szCs w:val="24"/>
        </w:rPr>
        <w:t xml:space="preserve"> such as individualism</w:t>
      </w:r>
      <w:r w:rsidR="00AF751E" w:rsidRPr="007313E2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572249" w:rsidRPr="007313E2">
        <w:rPr>
          <w:rFonts w:ascii="Times New Roman" w:hAnsi="Times New Roman"/>
          <w:noProof w:val="0"/>
          <w:sz w:val="24"/>
          <w:szCs w:val="24"/>
        </w:rPr>
        <w:t xml:space="preserve">with 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 xml:space="preserve">values 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of 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>67 and 25</w:t>
      </w:r>
      <w:r w:rsidR="00175354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174D92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175354" w:rsidRPr="007313E2">
        <w:rPr>
          <w:rFonts w:ascii="Times New Roman" w:hAnsi="Times New Roman"/>
          <w:noProof w:val="0"/>
          <w:sz w:val="24"/>
          <w:szCs w:val="24"/>
        </w:rPr>
        <w:t>respectively (</w:t>
      </w:r>
      <w:proofErr w:type="spellStart"/>
      <w:r w:rsidR="008A0E7B" w:rsidRPr="007313E2">
        <w:rPr>
          <w:rFonts w:ascii="Times New Roman" w:hAnsi="Times New Roman"/>
          <w:noProof w:val="0"/>
          <w:sz w:val="24"/>
          <w:szCs w:val="24"/>
        </w:rPr>
        <w:t>Podrug</w:t>
      </w:r>
      <w:proofErr w:type="spellEnd"/>
      <w:r w:rsidR="00E007F2" w:rsidRPr="007313E2">
        <w:rPr>
          <w:rFonts w:ascii="Times New Roman" w:hAnsi="Times New Roman"/>
          <w:noProof w:val="0"/>
          <w:sz w:val="24"/>
          <w:szCs w:val="24"/>
        </w:rPr>
        <w:t xml:space="preserve"> et al.</w:t>
      </w:r>
      <w:r w:rsidR="008A0E7B" w:rsidRPr="007313E2">
        <w:rPr>
          <w:rFonts w:ascii="Times New Roman" w:hAnsi="Times New Roman"/>
          <w:noProof w:val="0"/>
          <w:sz w:val="24"/>
          <w:szCs w:val="24"/>
        </w:rPr>
        <w:t>, 2014</w:t>
      </w:r>
      <w:r w:rsidR="009E06E2" w:rsidRPr="007313E2">
        <w:rPr>
          <w:rFonts w:ascii="Times New Roman" w:hAnsi="Times New Roman"/>
          <w:noProof w:val="0"/>
          <w:sz w:val="24"/>
          <w:szCs w:val="24"/>
        </w:rPr>
        <w:t xml:space="preserve">). </w:t>
      </w:r>
      <w:r w:rsidR="002B1E79" w:rsidRPr="007313E2">
        <w:rPr>
          <w:rFonts w:ascii="Times New Roman" w:hAnsi="Times New Roman"/>
          <w:noProof w:val="0"/>
          <w:sz w:val="24"/>
          <w:szCs w:val="24"/>
        </w:rPr>
        <w:t>T</w:t>
      </w:r>
      <w:r w:rsidR="00FB6B52" w:rsidRPr="007313E2">
        <w:rPr>
          <w:rFonts w:ascii="Times New Roman" w:hAnsi="Times New Roman"/>
          <w:noProof w:val="0"/>
          <w:sz w:val="24"/>
          <w:szCs w:val="24"/>
        </w:rPr>
        <w:t xml:space="preserve">hese differences could affect family </w:t>
      </w:r>
      <w:r w:rsidR="00B17C9E" w:rsidRPr="007313E2">
        <w:rPr>
          <w:rFonts w:ascii="Times New Roman" w:hAnsi="Times New Roman"/>
          <w:noProof w:val="0"/>
          <w:sz w:val="24"/>
          <w:szCs w:val="24"/>
        </w:rPr>
        <w:t>life</w:t>
      </w:r>
      <w:r w:rsidR="00C12E52" w:rsidRPr="007313E2">
        <w:rPr>
          <w:rFonts w:ascii="Times New Roman" w:hAnsi="Times New Roman"/>
          <w:noProof w:val="0"/>
          <w:sz w:val="24"/>
          <w:szCs w:val="24"/>
        </w:rPr>
        <w:t xml:space="preserve"> and personality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, as well as </w:t>
      </w:r>
      <w:r w:rsidR="00CF5D7F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>perceived family environment. Therefore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we 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assumed 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>that, beside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>s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similarities, some subtle</w:t>
      </w:r>
      <w:r w:rsidR="000F0790" w:rsidRPr="007313E2">
        <w:rPr>
          <w:rFonts w:ascii="Times New Roman" w:hAnsi="Times New Roman"/>
          <w:noProof w:val="0"/>
          <w:sz w:val="24"/>
          <w:szCs w:val="24"/>
        </w:rPr>
        <w:t xml:space="preserve"> differences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 xml:space="preserve">can be observed 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>between German and Serbian culture</w:t>
      </w:r>
      <w:r w:rsidR="000F0790" w:rsidRPr="007313E2">
        <w:rPr>
          <w:rFonts w:ascii="Times New Roman" w:hAnsi="Times New Roman"/>
          <w:noProof w:val="0"/>
          <w:sz w:val="24"/>
          <w:szCs w:val="24"/>
        </w:rPr>
        <w:t>s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1D0EFA" w:rsidRPr="007313E2">
        <w:rPr>
          <w:rFonts w:ascii="Times New Roman" w:hAnsi="Times New Roman"/>
          <w:noProof w:val="0"/>
          <w:sz w:val="24"/>
          <w:szCs w:val="24"/>
        </w:rPr>
        <w:t>in terms of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genetic and environmental contribution</w:t>
      </w:r>
      <w:r w:rsidR="00837402" w:rsidRPr="007313E2">
        <w:rPr>
          <w:rFonts w:ascii="Times New Roman" w:hAnsi="Times New Roman"/>
          <w:noProof w:val="0"/>
          <w:sz w:val="24"/>
          <w:szCs w:val="24"/>
        </w:rPr>
        <w:t>s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 to </w:t>
      </w:r>
      <w:r w:rsidR="00CF5D7F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 xml:space="preserve">family environment </w:t>
      </w:r>
      <w:r w:rsidR="00C12E52" w:rsidRPr="007313E2">
        <w:rPr>
          <w:rFonts w:ascii="Times New Roman" w:hAnsi="Times New Roman"/>
          <w:noProof w:val="0"/>
          <w:sz w:val="24"/>
          <w:szCs w:val="24"/>
        </w:rPr>
        <w:t>and personality</w:t>
      </w:r>
      <w:r w:rsidR="00AC6D15" w:rsidRPr="007313E2">
        <w:rPr>
          <w:rFonts w:ascii="Times New Roman" w:hAnsi="Times New Roman"/>
          <w:noProof w:val="0"/>
          <w:sz w:val="24"/>
          <w:szCs w:val="24"/>
        </w:rPr>
        <w:t>.</w:t>
      </w:r>
    </w:p>
    <w:p w:rsidR="00CB67AF" w:rsidRPr="007313E2" w:rsidRDefault="001D0EFA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Taking into account 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all of the above, </w:t>
      </w:r>
      <w:r w:rsidR="00883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the context of the adaptation of parenting, 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 is necessary to study common genetic and environmental factors of personality traits and perceived parenting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order to respond in a timely manner </w:t>
      </w:r>
      <w:r w:rsidR="00A966A4" w:rsidRPr="007313E2">
        <w:rPr>
          <w:rFonts w:ascii="Times New Roman" w:hAnsi="Times New Roman" w:cs="Times New Roman"/>
          <w:noProof w:val="0"/>
          <w:sz w:val="24"/>
          <w:szCs w:val="24"/>
        </w:rPr>
        <w:t>to the child’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>s personal</w:t>
      </w:r>
      <w:r w:rsidR="00177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needs,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B3532" w:rsidRPr="007313E2">
        <w:rPr>
          <w:rFonts w:ascii="Times New Roman" w:hAnsi="Times New Roman" w:cs="Times New Roman"/>
          <w:noProof w:val="0"/>
          <w:sz w:val="24"/>
          <w:szCs w:val="24"/>
        </w:rPr>
        <w:t>so as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eliminate </w:t>
      </w:r>
      <w:r w:rsidR="00177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potential 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>undesirable products of the interaction</w:t>
      </w:r>
      <w:r w:rsidR="007B35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r w:rsidR="00177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child’s </w:t>
      </w:r>
      <w:r w:rsidR="007B3532" w:rsidRPr="007313E2">
        <w:rPr>
          <w:rFonts w:ascii="Times New Roman" w:hAnsi="Times New Roman" w:cs="Times New Roman"/>
          <w:noProof w:val="0"/>
          <w:sz w:val="24"/>
          <w:szCs w:val="24"/>
        </w:rPr>
        <w:t>personality and parenting</w:t>
      </w:r>
      <w:r w:rsidR="000E0082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the one hand, we</w:t>
      </w:r>
      <w:r w:rsidR="00581FF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can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gain knowledge about how correct and </w:t>
      </w:r>
      <w:r w:rsidR="000B51F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adaptive </w:t>
      </w:r>
      <w:r w:rsidR="00C2732E" w:rsidRPr="007313E2">
        <w:rPr>
          <w:rFonts w:ascii="Times New Roman" w:hAnsi="Times New Roman" w:cs="Times New Roman"/>
          <w:noProof w:val="0"/>
          <w:sz w:val="24"/>
          <w:szCs w:val="24"/>
        </w:rPr>
        <w:t>parenting can be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different environmental conditions. On the other hand, we can obtain information </w:t>
      </w:r>
      <w:r w:rsidR="00C1319F" w:rsidRPr="007313E2">
        <w:rPr>
          <w:rFonts w:ascii="Times New Roman" w:hAnsi="Times New Roman" w:cs="Times New Roman"/>
          <w:noProof w:val="0"/>
          <w:sz w:val="24"/>
          <w:szCs w:val="24"/>
        </w:rPr>
        <w:t>regarding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which individual differences make people suitable for changing the perception of </w:t>
      </w:r>
      <w:r w:rsidR="00C2732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to what extent, in the context of a better quality of life</w:t>
      </w:r>
      <w:r w:rsidR="0027777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different cultures</w:t>
      </w:r>
      <w:r w:rsidR="0007373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>This study aim</w:t>
      </w:r>
      <w:r w:rsidR="00CE3A89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DC7D1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examine whether there are cross-cultural specificities in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genetic and environmental 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personality traits and </w:t>
      </w:r>
      <w:r w:rsidR="00DD6D1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German and Serbian sample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twins. </w:t>
      </w:r>
      <w:r w:rsidR="00DC7D10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0B51FA" w:rsidRPr="007313E2">
        <w:rPr>
          <w:rFonts w:ascii="Times New Roman" w:hAnsi="Times New Roman" w:cs="Times New Roman"/>
          <w:noProof w:val="0"/>
          <w:sz w:val="24"/>
          <w:szCs w:val="24"/>
        </w:rPr>
        <w:t>n a</w:t>
      </w:r>
      <w:r w:rsidR="00DC7D10" w:rsidRPr="007313E2">
        <w:rPr>
          <w:rFonts w:ascii="Times New Roman" w:hAnsi="Times New Roman" w:cs="Times New Roman"/>
          <w:noProof w:val="0"/>
          <w:sz w:val="24"/>
          <w:szCs w:val="24"/>
        </w:rPr>
        <w:t>dditional</w:t>
      </w:r>
      <w:r w:rsidR="00116C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aim </w:t>
      </w:r>
      <w:r w:rsidR="00CE3A89" w:rsidRPr="007313E2">
        <w:rPr>
          <w:rFonts w:ascii="Times New Roman" w:hAnsi="Times New Roman" w:cs="Times New Roman"/>
          <w:noProof w:val="0"/>
          <w:sz w:val="24"/>
          <w:szCs w:val="24"/>
        </w:rPr>
        <w:t>is</w:t>
      </w:r>
      <w:r w:rsidR="00CF5D7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investigate and compare </w:t>
      </w:r>
      <w:r w:rsidR="000B51F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genetic and environmental overlap</w:t>
      </w:r>
      <w:r w:rsidR="000B51FA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between personality traits and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24665" w:rsidRPr="007313E2">
        <w:rPr>
          <w:rFonts w:ascii="Times New Roman" w:hAnsi="Times New Roman" w:cs="Times New Roman"/>
          <w:noProof w:val="0"/>
          <w:sz w:val="24"/>
          <w:szCs w:val="24"/>
        </w:rPr>
        <w:t>ac</w:t>
      </w:r>
      <w:r w:rsidR="000B51F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ross </w:t>
      </w:r>
      <w:r w:rsidR="00CF5D7F"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3F380F" w:rsidRPr="007313E2">
        <w:rPr>
          <w:rFonts w:ascii="Times New Roman" w:hAnsi="Times New Roman" w:cs="Times New Roman"/>
          <w:noProof w:val="0"/>
          <w:sz w:val="24"/>
          <w:szCs w:val="24"/>
        </w:rPr>
        <w:t>se</w:t>
      </w:r>
      <w:r w:rsidR="00CF5D7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82D92" w:rsidRPr="007313E2">
        <w:rPr>
          <w:rFonts w:ascii="Times New Roman" w:hAnsi="Times New Roman" w:cs="Times New Roman"/>
          <w:noProof w:val="0"/>
          <w:sz w:val="24"/>
          <w:szCs w:val="24"/>
        </w:rPr>
        <w:t>two cultures.</w:t>
      </w:r>
    </w:p>
    <w:p w:rsidR="00787929" w:rsidRPr="007313E2" w:rsidRDefault="00B319BB" w:rsidP="0065603A">
      <w:pPr>
        <w:pStyle w:val="NoSpacing"/>
        <w:spacing w:after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</w:t>
      </w:r>
    </w:p>
    <w:p w:rsidR="00787929" w:rsidRPr="007313E2" w:rsidRDefault="00B319BB" w:rsidP="0065603A">
      <w:pPr>
        <w:spacing w:after="0"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Sample </w:t>
      </w:r>
      <w:r w:rsidR="00FC760A"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and Procedure</w:t>
      </w:r>
    </w:p>
    <w:p w:rsidR="006E433C" w:rsidRPr="007313E2" w:rsidRDefault="000B51FA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Serbian sample consisted of 188 </w:t>
      </w:r>
      <w:r w:rsidR="00F559A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twin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pairs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(average age 24.48 years)</w:t>
      </w:r>
      <w:r w:rsidR="0031329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123 (65.4%) monozygotic and 65 (34.6%) dizygotic.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total,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there were 95 male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  <w:lang w:val="sr-Latn-RS"/>
        </w:rPr>
        <w:t>(25.3%)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281 female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(74.7%) monozygotic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participants, </w:t>
      </w:r>
      <w:r w:rsidR="006206FF" w:rsidRPr="007313E2">
        <w:rPr>
          <w:rFonts w:ascii="Times New Roman" w:hAnsi="Times New Roman" w:cs="Times New Roman"/>
          <w:noProof w:val="0"/>
          <w:sz w:val="24"/>
          <w:szCs w:val="24"/>
        </w:rPr>
        <w:t>while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29 dizygotic pairs were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mixed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sex.</w:t>
      </w:r>
      <w:r w:rsidR="00F559A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The t</w:t>
      </w:r>
      <w:r w:rsidR="00FC760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wins were recruited as part of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6675B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wider national </w:t>
      </w:r>
      <w:r w:rsidR="00FC760A" w:rsidRPr="007313E2">
        <w:rPr>
          <w:rFonts w:ascii="Times New Roman" w:hAnsi="Times New Roman" w:cs="Times New Roman"/>
          <w:noProof w:val="0"/>
          <w:sz w:val="24"/>
          <w:szCs w:val="24"/>
        </w:rPr>
        <w:t>project (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details in 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Smederevac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FC760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2020) during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period </w:t>
      </w:r>
      <w:r w:rsidR="00FC760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2011-2018. </w:t>
      </w:r>
      <w:r w:rsidR="00F559A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D1DB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German sample consisted of 394 twin pairs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(average age 34.08 years)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among which there </w:t>
      </w:r>
      <w:r w:rsidR="008D1DB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were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226 monozygotic pairs (57.4%) and 168 dizygotic pairs (43.6%)</w:t>
      </w:r>
      <w:r w:rsidR="00CC19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recruited through </w:t>
      </w:r>
      <w:r w:rsidR="008D1DB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>national</w:t>
      </w:r>
      <w:r w:rsidR="00CC19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project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 </w:t>
      </w:r>
      <w:r w:rsidR="00FB6FCE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here were 68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pairs of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mixed</w:t>
      </w:r>
      <w:r w:rsidR="00C12869" w:rsidRPr="007313E2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>sex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twin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general,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there were 203 male participants and 585 (74.6%) female participants. </w:t>
      </w:r>
      <w:r w:rsidR="00C2732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There were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about </w:t>
      </w:r>
      <w:r w:rsidR="00C2732E" w:rsidRPr="007313E2">
        <w:rPr>
          <w:rFonts w:ascii="Times New Roman" w:hAnsi="Times New Roman" w:cs="Times New Roman"/>
          <w:noProof w:val="0"/>
          <w:sz w:val="24"/>
          <w:szCs w:val="24"/>
        </w:rPr>
        <w:t>75% of female twins in b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oth samples</w:t>
      </w:r>
      <w:r w:rsidR="00C2732E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F157C9" w:rsidRPr="007313E2" w:rsidRDefault="00F157C9" w:rsidP="00F559A4">
      <w:pPr>
        <w:spacing w:after="0" w:line="480" w:lineRule="auto"/>
        <w:ind w:firstLine="720"/>
        <w:rPr>
          <w:rFonts w:ascii="Times New Roman" w:hAnsi="Times New Roman" w:cs="Times New Roman"/>
          <w:noProof w:val="0"/>
          <w:sz w:val="24"/>
          <w:szCs w:val="24"/>
        </w:rPr>
      </w:pPr>
    </w:p>
    <w:p w:rsidR="00787929" w:rsidRPr="007313E2" w:rsidRDefault="00B319BB" w:rsidP="0065603A">
      <w:pPr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Instruments</w:t>
      </w:r>
    </w:p>
    <w:p w:rsidR="00787929" w:rsidRPr="007313E2" w:rsidRDefault="00B319BB" w:rsidP="00340D9A">
      <w:pPr>
        <w:spacing w:after="0" w:line="480" w:lineRule="auto"/>
        <w:ind w:left="360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The Questionnaire of Twins’ Physical Resemblance </w:t>
      </w:r>
    </w:p>
    <w:p w:rsidR="0065603A" w:rsidRPr="007313E2" w:rsidRDefault="00B319B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This questionnaire </w:t>
      </w:r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proofErr w:type="spellStart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>Oniszczenko</w:t>
      </w:r>
      <w:proofErr w:type="spellEnd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al., 1993)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a self-report measure </w:t>
      </w:r>
      <w:r w:rsidR="006206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consisting of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31 sets of items</w:t>
      </w:r>
      <w:r w:rsidR="001E12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which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refer to multiple biological and physical indicators </w:t>
      </w:r>
      <w:r w:rsidR="008243CF" w:rsidRPr="007313E2">
        <w:rPr>
          <w:rFonts w:ascii="Times New Roman" w:hAnsi="Times New Roman" w:cs="Times New Roman"/>
          <w:noProof w:val="0"/>
          <w:sz w:val="24"/>
          <w:szCs w:val="24"/>
        </w:rPr>
        <w:t>of similarity or dissimilarity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243C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between twins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(e.g., weight, height, hair color, eye color)</w:t>
      </w:r>
      <w:r w:rsidR="003D04D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mixing the </w:t>
      </w:r>
      <w:r w:rsidR="000875A0" w:rsidRPr="007313E2">
        <w:rPr>
          <w:rFonts w:ascii="Times New Roman" w:hAnsi="Times New Roman" w:cs="Times New Roman"/>
          <w:noProof w:val="0"/>
          <w:sz w:val="24"/>
          <w:szCs w:val="24"/>
        </w:rPr>
        <w:t>twins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by parents, family members, peers and strangers.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assessment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zygosity with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this questionnaire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has been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shown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be highly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reliable in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several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studies</w:t>
      </w:r>
      <w:r w:rsidR="008243CF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with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 accuracy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rate reaching 95% (</w:t>
      </w:r>
      <w:r w:rsidR="00432A96" w:rsidRPr="007313E2">
        <w:rPr>
          <w:rFonts w:ascii="Times New Roman" w:hAnsi="Times New Roman" w:cs="Times New Roman"/>
          <w:noProof w:val="0"/>
          <w:sz w:val="24"/>
          <w:szCs w:val="24"/>
        </w:rPr>
        <w:t>Reed et al., 2005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).</w:t>
      </w:r>
    </w:p>
    <w:p w:rsidR="00787929" w:rsidRPr="007313E2" w:rsidRDefault="0065603A" w:rsidP="0065603A">
      <w:pPr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       </w:t>
      </w:r>
      <w:r w:rsidR="00B319BB"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Block Environmental Questionnaire </w:t>
      </w:r>
      <w:r w:rsidR="00E007F2"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>(BEQ)</w:t>
      </w:r>
    </w:p>
    <w:p w:rsidR="006536EA" w:rsidRPr="007313E2" w:rsidRDefault="00E007F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BEQ</w:t>
      </w:r>
      <w:r w:rsidR="009E1C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(Block, 1971)</w:t>
      </w:r>
      <w:r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r w:rsidR="000875A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</w:t>
      </w:r>
      <w:r w:rsidR="003D04D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0875A0" w:rsidRPr="007313E2">
        <w:rPr>
          <w:rFonts w:ascii="Times New Roman" w:hAnsi="Times New Roman" w:cs="Times New Roman"/>
          <w:noProof w:val="0"/>
          <w:sz w:val="24"/>
          <w:szCs w:val="24"/>
        </w:rPr>
        <w:t>five-point Likert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0875A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type measure of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retrospective perception of </w:t>
      </w:r>
      <w:r w:rsidR="003D04D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family environment in twin families</w:t>
      </w:r>
      <w:r w:rsidR="00ED39B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(perception of parenting)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It consists of 6 scales: (1) 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>Mother</w:t>
      </w:r>
      <w:r w:rsidR="009849A4" w:rsidRPr="007313E2">
        <w:rPr>
          <w:rFonts w:ascii="Times New Roman" w:hAnsi="Times New Roman" w:cs="Times New Roman"/>
          <w:noProof w:val="0"/>
          <w:sz w:val="24"/>
          <w:szCs w:val="24"/>
        </w:rPr>
        <w:t>’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>s a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cceptance/rejection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(MA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/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R)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(2) 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>Father</w:t>
      </w:r>
      <w:r w:rsidR="009849A4" w:rsidRPr="007313E2">
        <w:rPr>
          <w:rFonts w:ascii="Times New Roman" w:hAnsi="Times New Roman" w:cs="Times New Roman"/>
          <w:noProof w:val="0"/>
          <w:sz w:val="24"/>
          <w:szCs w:val="24"/>
        </w:rPr>
        <w:t>’</w:t>
      </w:r>
      <w:r w:rsidR="00F204FB" w:rsidRPr="007313E2">
        <w:rPr>
          <w:rFonts w:ascii="Times New Roman" w:hAnsi="Times New Roman" w:cs="Times New Roman"/>
          <w:noProof w:val="0"/>
          <w:sz w:val="24"/>
          <w:szCs w:val="24"/>
        </w:rPr>
        <w:t>s a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cceptance/rejection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(FA/R)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(3) Family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cohesion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(FC)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(4)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>Mother’s intellectual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orientation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(MIO)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(5) </w:t>
      </w:r>
      <w:r w:rsidR="00294DE2" w:rsidRPr="007313E2">
        <w:rPr>
          <w:rFonts w:ascii="Times New Roman" w:hAnsi="Times New Roman" w:cs="Times New Roman"/>
          <w:noProof w:val="0"/>
          <w:sz w:val="24"/>
          <w:szCs w:val="24"/>
        </w:rPr>
        <w:t>Father</w:t>
      </w:r>
      <w:r w:rsidR="009849A4" w:rsidRPr="007313E2">
        <w:rPr>
          <w:rFonts w:ascii="Times New Roman" w:hAnsi="Times New Roman" w:cs="Times New Roman"/>
          <w:noProof w:val="0"/>
          <w:sz w:val="24"/>
          <w:szCs w:val="24"/>
        </w:rPr>
        <w:t>’</w:t>
      </w:r>
      <w:r w:rsidR="00294DE2" w:rsidRPr="007313E2">
        <w:rPr>
          <w:rFonts w:ascii="Times New Roman" w:hAnsi="Times New Roman" w:cs="Times New Roman"/>
          <w:noProof w:val="0"/>
          <w:sz w:val="24"/>
          <w:szCs w:val="24"/>
        </w:rPr>
        <w:t>s i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ntellectual</w:t>
      </w:r>
      <w:r w:rsidR="00CB67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orientation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(FIO)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(6) Family organization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(FO)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CB67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613644" w:rsidRPr="007313E2">
        <w:rPr>
          <w:rFonts w:ascii="Times New Roman" w:hAnsi="Times New Roman" w:cs="Times New Roman"/>
          <w:noProof w:val="0"/>
          <w:sz w:val="24"/>
          <w:szCs w:val="24"/>
        </w:rPr>
        <w:t>former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three scales </w:t>
      </w:r>
      <w:r w:rsidR="00AE16D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form </w:t>
      </w:r>
      <w:r w:rsidR="003D04D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higher</w:t>
      </w:r>
      <w:r w:rsidR="00CB67AF" w:rsidRPr="007313E2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order</w:t>
      </w:r>
      <w:r w:rsidR="00CB67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factor </w:t>
      </w:r>
      <w:r w:rsidR="006536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called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Support, while </w:t>
      </w:r>
      <w:r w:rsidR="006536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613644" w:rsidRPr="007313E2">
        <w:rPr>
          <w:rFonts w:ascii="Times New Roman" w:hAnsi="Times New Roman" w:cs="Times New Roman"/>
          <w:noProof w:val="0"/>
          <w:sz w:val="24"/>
          <w:szCs w:val="24"/>
        </w:rPr>
        <w:t>latter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three scales </w:t>
      </w:r>
      <w:r w:rsidR="004A5B11" w:rsidRPr="007313E2">
        <w:rPr>
          <w:rFonts w:ascii="Times New Roman" w:hAnsi="Times New Roman" w:cs="Times New Roman"/>
          <w:noProof w:val="0"/>
          <w:sz w:val="24"/>
          <w:szCs w:val="24"/>
        </w:rPr>
        <w:t>form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D04D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factor </w:t>
      </w:r>
      <w:r w:rsidR="006536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called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Organization</w:t>
      </w:r>
      <w:r w:rsidR="009E1C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(</w:t>
      </w:r>
      <w:proofErr w:type="spellStart"/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Hur</w:t>
      </w:r>
      <w:proofErr w:type="spellEnd"/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&amp; Bouchard, 1995). 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The reliabilities of the BEQ dimensions in the Serbian sample were: MA/R: α = .8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6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FA/R: α = .8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9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FC: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88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MIO: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67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FIO: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72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FO: 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α = .64, SUPP: α = .88, ORG: α = .68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. The reliabilities in the German sample were: MA/R: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90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FA/R: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96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FC: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90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MIO: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80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FIO: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91</w:t>
      </w:r>
      <w:r w:rsidR="00980CB8" w:rsidRPr="007313E2">
        <w:rPr>
          <w:rFonts w:ascii="Times New Roman" w:hAnsi="Times New Roman" w:cs="Times New Roman"/>
          <w:noProof w:val="0"/>
          <w:sz w:val="24"/>
          <w:szCs w:val="24"/>
        </w:rPr>
        <w:t>, FO: α = .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74, SUPP: α = .92, ORG: α = .82.</w:t>
      </w:r>
    </w:p>
    <w:p w:rsidR="00787929" w:rsidRPr="007313E2" w:rsidRDefault="00B319BB" w:rsidP="00A350ED">
      <w:pPr>
        <w:spacing w:line="480" w:lineRule="auto"/>
        <w:ind w:firstLine="720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NEO-PI-R  </w:t>
      </w:r>
    </w:p>
    <w:p w:rsidR="0064063B" w:rsidRPr="007313E2" w:rsidRDefault="00026BE9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NEO-PI-R </w:t>
      </w:r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>(Costa &amp; McCrae 1992</w:t>
      </w:r>
      <w:r w:rsidR="00E2269B" w:rsidRPr="007313E2">
        <w:rPr>
          <w:rFonts w:ascii="Times New Roman" w:hAnsi="Times New Roman" w:cs="Times New Roman"/>
          <w:noProof w:val="0"/>
          <w:sz w:val="24"/>
          <w:szCs w:val="24"/>
        </w:rPr>
        <w:t>;</w:t>
      </w:r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>Knežević</w:t>
      </w:r>
      <w:proofErr w:type="spellEnd"/>
      <w:r w:rsidR="00E007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>, 2009</w:t>
      </w:r>
      <w:r w:rsidR="00E2269B" w:rsidRPr="007313E2">
        <w:rPr>
          <w:rFonts w:ascii="Times New Roman" w:hAnsi="Times New Roman" w:cs="Times New Roman"/>
          <w:noProof w:val="0"/>
          <w:sz w:val="24"/>
          <w:szCs w:val="24"/>
        </w:rPr>
        <w:t>, Serbian version,</w:t>
      </w:r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Ostendorf &amp; </w:t>
      </w:r>
      <w:proofErr w:type="spellStart"/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>Angleitner</w:t>
      </w:r>
      <w:proofErr w:type="spellEnd"/>
      <w:r w:rsidR="0078792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2004, German Version)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a 240-item questionnaire that measures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3D058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Big Five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personality traits: Neuroticism (N), Extraversion (E), Conscientiousness (C), Openness to experience (O) and Agreeableness (A). </w:t>
      </w:r>
      <w:r w:rsidR="00EA1975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he reliabilities of the </w:t>
      </w:r>
      <w:r w:rsidR="003D0586" w:rsidRPr="007313E2">
        <w:rPr>
          <w:rFonts w:ascii="Times New Roman" w:hAnsi="Times New Roman" w:cs="Times New Roman"/>
          <w:noProof w:val="0"/>
          <w:sz w:val="24"/>
          <w:szCs w:val="24"/>
        </w:rPr>
        <w:t>B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ig </w:t>
      </w:r>
      <w:r w:rsidR="003D0586" w:rsidRPr="007313E2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ive dimensions in the Serbian sample were: N: α = .83, E: α = .85, O: α = .77, A: α = .72, C: α = .85. The reliabilities in the German sample were: N: α = .92, E: α = .89, O: α = .88, A: α = .85, C: α = </w:t>
      </w:r>
      <w:r w:rsidR="00FB6FCE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89.</w:t>
      </w:r>
    </w:p>
    <w:p w:rsidR="001F2DA8" w:rsidRPr="002809DD" w:rsidRDefault="0064063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Given that the model has invariance of latent factor covariances (Appendix), it is justified to test inter</w:t>
      </w:r>
      <w:r w:rsidR="00700CF0" w:rsidRPr="007313E2">
        <w:rPr>
          <w:rFonts w:ascii="Times New Roman" w:hAnsi="Times New Roman" w:cs="Times New Roman"/>
          <w:noProof w:val="0"/>
          <w:sz w:val="24"/>
          <w:szCs w:val="24"/>
        </w:rPr>
        <w:t>cultural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differences on BEQ and NEO-PI-R measures (Little, 1997).</w:t>
      </w:r>
    </w:p>
    <w:p w:rsidR="00787929" w:rsidRPr="007313E2" w:rsidRDefault="00B319BB" w:rsidP="0065603A">
      <w:pPr>
        <w:spacing w:after="0"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Data Analysis </w:t>
      </w:r>
    </w:p>
    <w:p w:rsidR="003F65C1" w:rsidRPr="007313E2" w:rsidRDefault="00B319B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order to minimize </w:t>
      </w:r>
      <w:r w:rsidR="00EA197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potential effect </w:t>
      </w:r>
      <w:r w:rsidR="00FB6F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age and gender</w:t>
      </w:r>
      <w:r w:rsidR="00FB6FC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26BE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raw scores of the five personality domains and </w:t>
      </w:r>
      <w:r w:rsidR="00026BE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BEQ scales were adjusted for gender and age effects using a regression procedure. Standardized residuals from these scales were used in all further analyses. </w:t>
      </w:r>
      <w:r w:rsidR="003F65C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787929" w:rsidRPr="007313E2" w:rsidRDefault="00B319B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Behavioral genetics analyses were performed in </w:t>
      </w:r>
      <w:r w:rsidR="00026BE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R environment using custom functions</w:t>
      </w:r>
      <w:r w:rsidR="00C23AEB" w:rsidRPr="007313E2">
        <w:rPr>
          <w:rFonts w:ascii="Times New Roman" w:hAnsi="Times New Roman" w:cs="Times New Roman"/>
          <w:noProof w:val="0"/>
          <w:sz w:val="24"/>
          <w:szCs w:val="24"/>
        </w:rPr>
        <w:t>, which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estimated structural equation twin models a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s an adaptation </w:t>
      </w:r>
      <w:r w:rsidR="00C23AEB" w:rsidRPr="007313E2">
        <w:rPr>
          <w:rFonts w:ascii="Times New Roman" w:hAnsi="Times New Roman"/>
          <w:noProof w:val="0"/>
          <w:sz w:val="24"/>
          <w:szCs w:val="24"/>
        </w:rPr>
        <w:t>of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multivariate SEM modeling in </w:t>
      </w:r>
      <w:r w:rsidR="00026BE9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>“</w:t>
      </w:r>
      <w:proofErr w:type="spellStart"/>
      <w:r w:rsidRPr="007313E2">
        <w:rPr>
          <w:rFonts w:ascii="Times New Roman" w:hAnsi="Times New Roman"/>
          <w:noProof w:val="0"/>
          <w:sz w:val="24"/>
          <w:szCs w:val="24"/>
        </w:rPr>
        <w:t>lavaan</w:t>
      </w:r>
      <w:proofErr w:type="spellEnd"/>
      <w:r w:rsidRPr="007313E2">
        <w:rPr>
          <w:rFonts w:ascii="Times New Roman" w:hAnsi="Times New Roman"/>
          <w:noProof w:val="0"/>
          <w:sz w:val="24"/>
          <w:szCs w:val="24"/>
        </w:rPr>
        <w:t>” R package (</w:t>
      </w:r>
      <w:proofErr w:type="spellStart"/>
      <w:r w:rsidRPr="007313E2">
        <w:rPr>
          <w:rFonts w:ascii="Times New Roman" w:hAnsi="Times New Roman"/>
          <w:noProof w:val="0"/>
          <w:sz w:val="24"/>
          <w:szCs w:val="24"/>
        </w:rPr>
        <w:t>Rosseel</w:t>
      </w:r>
      <w:proofErr w:type="spellEnd"/>
      <w:r w:rsidRPr="007313E2">
        <w:rPr>
          <w:rFonts w:ascii="Times New Roman" w:hAnsi="Times New Roman"/>
          <w:noProof w:val="0"/>
          <w:sz w:val="24"/>
          <w:szCs w:val="24"/>
        </w:rPr>
        <w:t>, 2012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 scripts for quantitative behavioral </w:t>
      </w:r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genetic analyses </w:t>
      </w:r>
      <w:r w:rsidR="00A71E9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 </w:t>
      </w:r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deposited </w:t>
      </w:r>
      <w:r w:rsidR="00A71E97" w:rsidRPr="007313E2">
        <w:rPr>
          <w:rFonts w:ascii="Times New Roman" w:hAnsi="Times New Roman" w:cs="Times New Roman"/>
          <w:noProof w:val="0"/>
          <w:sz w:val="24"/>
          <w:szCs w:val="24"/>
        </w:rPr>
        <w:t>in</w:t>
      </w:r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>Zenodo</w:t>
      </w:r>
      <w:proofErr w:type="spellEnd"/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>Čolović</w:t>
      </w:r>
      <w:proofErr w:type="spellEnd"/>
      <w:r w:rsidR="00B23D86" w:rsidRPr="007313E2">
        <w:rPr>
          <w:rFonts w:ascii="Times New Roman" w:hAnsi="Times New Roman" w:cs="Times New Roman"/>
          <w:noProof w:val="0"/>
          <w:sz w:val="24"/>
          <w:szCs w:val="24"/>
        </w:rPr>
        <w:t>, 2019).</w:t>
      </w:r>
      <w:r w:rsidR="00B23D86" w:rsidRPr="007313E2">
        <w:rPr>
          <w:noProof w:val="0"/>
        </w:rPr>
        <w:t xml:space="preserve"> 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>The f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unctions were used to calculate univariate twin models and multivariate Cholesky decomposition models</w:t>
      </w:r>
      <w:r w:rsidR="00B76D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with personality traits as the first variables, given that they are of a higher conceptual level of generality compared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>to dimensions</w:t>
      </w:r>
      <w:r w:rsidR="00B76D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parenting perception.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 overall model fit was </w:t>
      </w:r>
      <w:r w:rsidR="00C65032" w:rsidRPr="007313E2">
        <w:rPr>
          <w:rFonts w:ascii="Times New Roman" w:hAnsi="Times New Roman" w:cs="Times New Roman"/>
          <w:noProof w:val="0"/>
          <w:sz w:val="24"/>
          <w:szCs w:val="24"/>
        </w:rPr>
        <w:t>assessed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using 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Comparative Fit Index (CFI), Tucker Lewis Index (TLI), Root Mean Square Error of Approximation (RMSEA)</w:t>
      </w:r>
      <w:r w:rsidR="00C23AEB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Standardized Root Mean Square Residual (SRMR), while Bayesian information criterion (BIC) was used in addition to these fit indices to compare models. 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>Index v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alues were interpreted in accordance with 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recommendations</w:t>
      </w:r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Hu and </w:t>
      </w:r>
      <w:proofErr w:type="spellStart"/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>Bentler</w:t>
      </w:r>
      <w:proofErr w:type="spellEnd"/>
      <w:r w:rsidR="00FF10E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(1999)</w:t>
      </w:r>
      <w:r w:rsidR="00926358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787929" w:rsidRPr="007313E2" w:rsidRDefault="00B319B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Univariate models were used to assess effects of additive genetic (A), shared environmental (C) and non-shared environmental effects (E) for each personality trait and family environmental factor. The fit </w:t>
      </w:r>
      <w:r w:rsidR="003F18A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indices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of ACE, CE, AE and E models w</w:t>
      </w:r>
      <w:r w:rsidR="003F18A6" w:rsidRPr="007313E2">
        <w:rPr>
          <w:rFonts w:ascii="Times New Roman" w:hAnsi="Times New Roman" w:cs="Times New Roman"/>
          <w:noProof w:val="0"/>
          <w:sz w:val="24"/>
          <w:szCs w:val="24"/>
        </w:rPr>
        <w:t>ere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compared and the best model for each of the </w:t>
      </w:r>
      <w:r w:rsidR="002E5EE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modeled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variables was presented. Multivariate Cholesky decomposition models allow</w:t>
      </w:r>
      <w:r w:rsidR="00C23AEB" w:rsidRPr="007313E2">
        <w:rPr>
          <w:rFonts w:ascii="Times New Roman" w:hAnsi="Times New Roman" w:cs="Times New Roman"/>
          <w:noProof w:val="0"/>
          <w:sz w:val="24"/>
          <w:szCs w:val="24"/>
        </w:rPr>
        <w:t>ed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757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multiple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>covariations</w:t>
      </w:r>
      <w:r w:rsidR="00F757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trait</w:t>
      </w:r>
      <w:r w:rsidR="00F757CA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be decomposed into sources of genetic and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spellStart"/>
      <w:r w:rsidRPr="007313E2">
        <w:rPr>
          <w:rFonts w:ascii="Times New Roman" w:hAnsi="Times New Roman" w:cs="Times New Roman"/>
          <w:noProof w:val="0"/>
          <w:sz w:val="24"/>
          <w:szCs w:val="24"/>
        </w:rPr>
        <w:t>Posthuma</w:t>
      </w:r>
      <w:proofErr w:type="spellEnd"/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2009). </w:t>
      </w:r>
      <w:r w:rsidR="00235EF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Cholesky decomposition also assume</w:t>
      </w:r>
      <w:r w:rsidR="00F35412" w:rsidRPr="007313E2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that each trait </w:t>
      </w:r>
      <w:r w:rsidR="00F3541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influenced by additive genetic (A) and environmental (C, E) influences (</w:t>
      </w:r>
      <w:r w:rsidR="00C0129F" w:rsidRPr="007313E2"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igure 1). This model was used to assess the degree of genetic and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phenotypic correlations between personality dimensions and family environment factors. </w:t>
      </w:r>
      <w:r w:rsidR="00754618" w:rsidRPr="007313E2">
        <w:rPr>
          <w:rFonts w:ascii="Times New Roman" w:hAnsi="Times New Roman" w:cs="Times New Roman"/>
          <w:noProof w:val="0"/>
          <w:sz w:val="24"/>
          <w:szCs w:val="24"/>
        </w:rPr>
        <w:t>Both quantitative behavioral genetic data</w:t>
      </w:r>
      <w:r w:rsidR="00C856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54618" w:rsidRPr="007313E2">
        <w:rPr>
          <w:rFonts w:ascii="Times New Roman" w:hAnsi="Times New Roman" w:cs="Times New Roman"/>
          <w:noProof w:val="0"/>
          <w:sz w:val="24"/>
          <w:szCs w:val="24"/>
        </w:rPr>
        <w:t>set</w:t>
      </w:r>
      <w:r w:rsidR="009D061F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75461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data instructions are deposited </w:t>
      </w:r>
      <w:r w:rsidR="00934BF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the </w:t>
      </w:r>
      <w:r w:rsidR="00754618" w:rsidRPr="007313E2">
        <w:rPr>
          <w:rFonts w:ascii="Times New Roman" w:hAnsi="Times New Roman" w:cs="Times New Roman"/>
          <w:noProof w:val="0"/>
          <w:sz w:val="24"/>
          <w:szCs w:val="24"/>
        </w:rPr>
        <w:t>OSF (</w:t>
      </w:r>
      <w:hyperlink r:id="rId9" w:tgtFrame="_blank" w:history="1">
        <w:r w:rsidR="00754618" w:rsidRPr="007313E2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shd w:val="clear" w:color="auto" w:fill="FFFFFF"/>
          </w:rPr>
          <w:t>https://osf.io/tg9v5/</w:t>
        </w:r>
      </w:hyperlink>
      <w:r w:rsidR="00754618" w:rsidRPr="007313E2">
        <w:rPr>
          <w:rFonts w:ascii="Times New Roman" w:hAnsi="Times New Roman" w:cs="Times New Roman"/>
          <w:noProof w:val="0"/>
          <w:sz w:val="24"/>
          <w:szCs w:val="24"/>
        </w:rPr>
        <w:t>).</w:t>
      </w:r>
    </w:p>
    <w:p w:rsidR="001345F9" w:rsidRPr="007313E2" w:rsidRDefault="001345F9" w:rsidP="001345F9">
      <w:pPr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/>
          <w:i/>
          <w:sz w:val="24"/>
          <w:szCs w:val="24"/>
        </w:rPr>
        <w:lastRenderedPageBreak/>
        <w:drawing>
          <wp:inline distT="0" distB="0" distL="0" distR="0" wp14:anchorId="14526053" wp14:editId="37461AC8">
            <wp:extent cx="5732145" cy="3040336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4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F9" w:rsidRPr="007313E2" w:rsidRDefault="001345F9" w:rsidP="001345F9">
      <w:pPr>
        <w:spacing w:line="480" w:lineRule="auto"/>
        <w:rPr>
          <w:rFonts w:ascii="Times New Roman" w:hAnsi="Times New Roman"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 xml:space="preserve">Figure 1. </w:t>
      </w:r>
      <w:r w:rsidRPr="007313E2">
        <w:rPr>
          <w:rFonts w:ascii="Times New Roman" w:hAnsi="Times New Roman"/>
          <w:sz w:val="24"/>
          <w:szCs w:val="24"/>
        </w:rPr>
        <w:t xml:space="preserve">Cholesky decomposition model of the relationship between FFM personality traits and family environmental factors. The model shown is the AE model, while the ACE model has also been tested. </w:t>
      </w:r>
    </w:p>
    <w:p w:rsidR="00787929" w:rsidRPr="007313E2" w:rsidRDefault="00B319BB" w:rsidP="0065603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Results</w:t>
      </w:r>
    </w:p>
    <w:p w:rsidR="00787929" w:rsidRPr="007313E2" w:rsidRDefault="00B319BB" w:rsidP="0065603A">
      <w:pPr>
        <w:spacing w:after="0"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Univariate Behavioral Genetic Analyses </w:t>
      </w:r>
    </w:p>
    <w:p w:rsidR="002809DD" w:rsidRDefault="00B319B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For each of the variables in both samples</w:t>
      </w:r>
      <w:r w:rsidR="001D4B5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243C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lowest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BIC value was (</w:t>
      </w:r>
      <w:r w:rsidR="00934BF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best model) for the AE models, containing only genetic and non-shared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934BF0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(Table </w:t>
      </w:r>
      <w:r w:rsidR="00017311" w:rsidRPr="007313E2">
        <w:rPr>
          <w:rFonts w:ascii="Times New Roman" w:hAnsi="Times New Roman" w:cs="Times New Roman"/>
          <w:noProof w:val="0"/>
          <w:sz w:val="24"/>
          <w:szCs w:val="24"/>
        </w:rPr>
        <w:t>1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</w:p>
    <w:p w:rsid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09DD" w:rsidRPr="002809DD" w:rsidRDefault="002809DD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45F9" w:rsidRPr="007313E2" w:rsidRDefault="001345F9" w:rsidP="001345F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313E2">
        <w:rPr>
          <w:rFonts w:ascii="Times New Roman" w:hAnsi="Times New Roman"/>
          <w:sz w:val="24"/>
          <w:szCs w:val="24"/>
        </w:rPr>
        <w:lastRenderedPageBreak/>
        <w:t>Table 1</w:t>
      </w:r>
    </w:p>
    <w:p w:rsidR="001345F9" w:rsidRPr="007313E2" w:rsidRDefault="001345F9" w:rsidP="001345F9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>BIC values of ae, ce, ace and e models for personality scales and BEQ factors in both samples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077"/>
        <w:gridCol w:w="1077"/>
        <w:gridCol w:w="1079"/>
        <w:gridCol w:w="1078"/>
        <w:gridCol w:w="1077"/>
        <w:gridCol w:w="1119"/>
        <w:gridCol w:w="1469"/>
      </w:tblGrid>
      <w:tr w:rsidR="007313E2" w:rsidRPr="007313E2" w:rsidTr="0011636D">
        <w:tc>
          <w:tcPr>
            <w:tcW w:w="1128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20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22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21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20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50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1469" w:type="dxa"/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</w:tr>
      <w:tr w:rsidR="007313E2" w:rsidRPr="007313E2" w:rsidTr="0011636D"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German sample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11636D"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2114.4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2100.4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2088.2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2125.1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2082.3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1843.3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1964.7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2144.8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2115.4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2102.8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2135.0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2100.1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1872.6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1968.3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ACE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2120.3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2106.3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2094.2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2131.1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2088.2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1845.0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1966.2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2199.8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2189.5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2188.0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2187.4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2179.8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2083.4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2102.6</w:t>
            </w:r>
          </w:p>
        </w:tc>
      </w:tr>
      <w:tr w:rsidR="007313E2" w:rsidRPr="007313E2" w:rsidTr="0011636D"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Serbian sample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313E2" w:rsidRPr="007313E2" w:rsidTr="0011636D"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b/>
                <w:sz w:val="24"/>
                <w:szCs w:val="24"/>
              </w:rPr>
              <w:t>1068.2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</w:rPr>
              <w:t>1018.1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1047.0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1048.8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1023.5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1010.7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1023.5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1069.4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1027.0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1055.2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1053.0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1025.1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1013.8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1033.2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ACE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1073.4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1023.2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1052.2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1054.0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1027.5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1014.5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1028.7</w:t>
            </w:r>
          </w:p>
        </w:tc>
      </w:tr>
      <w:tr w:rsidR="007313E2" w:rsidRPr="007313E2" w:rsidTr="0011636D">
        <w:tc>
          <w:tcPr>
            <w:tcW w:w="1128" w:type="dxa"/>
            <w:tcBorders>
              <w:top w:val="nil"/>
            </w:tcBorders>
            <w:shd w:val="clear" w:color="auto" w:fill="auto"/>
          </w:tcPr>
          <w:p w:rsidR="001345F9" w:rsidRPr="007313E2" w:rsidRDefault="001345F9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1086.2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1081.0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1088.9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1087.2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1085.5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1089.1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1345F9" w:rsidRPr="007313E2" w:rsidRDefault="001345F9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1091.8</w:t>
            </w:r>
          </w:p>
        </w:tc>
      </w:tr>
    </w:tbl>
    <w:p w:rsidR="001345F9" w:rsidRPr="007313E2" w:rsidRDefault="001345F9" w:rsidP="001345F9">
      <w:pPr>
        <w:spacing w:line="480" w:lineRule="auto"/>
        <w:rPr>
          <w:rFonts w:ascii="Times New Roman" w:hAnsi="Times New Roman"/>
          <w:sz w:val="20"/>
          <w:szCs w:val="20"/>
        </w:rPr>
      </w:pPr>
      <w:r w:rsidRPr="007313E2">
        <w:rPr>
          <w:rFonts w:ascii="Times New Roman" w:hAnsi="Times New Roman"/>
          <w:i/>
          <w:iCs/>
          <w:sz w:val="20"/>
          <w:szCs w:val="20"/>
        </w:rPr>
        <w:t xml:space="preserve">Note. </w:t>
      </w:r>
      <w:r w:rsidRPr="007313E2">
        <w:rPr>
          <w:rFonts w:ascii="Times New Roman" w:hAnsi="Times New Roman"/>
          <w:sz w:val="20"/>
          <w:szCs w:val="20"/>
        </w:rPr>
        <w:t xml:space="preserve">N – Neuroticism, E – Extraversion, O – Openness, A – Agreeableness, C – Conscientiousness. </w:t>
      </w:r>
    </w:p>
    <w:p w:rsidR="001F2DA8" w:rsidRPr="007313E2" w:rsidRDefault="00B24FD6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The f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 indices </w:t>
      </w:r>
      <w:r w:rsidR="00133C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(Table </w:t>
      </w:r>
      <w:r w:rsidR="00017311" w:rsidRPr="007313E2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133C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indicate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>d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satisfactory fit of the AE model for </w:t>
      </w:r>
      <w:r w:rsidR="007E5BDF" w:rsidRPr="007313E2">
        <w:rPr>
          <w:rFonts w:ascii="Times New Roman" w:hAnsi="Times New Roman" w:cs="Times New Roman"/>
          <w:noProof w:val="0"/>
          <w:sz w:val="24"/>
          <w:szCs w:val="24"/>
        </w:rPr>
        <w:t>each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variable</w:t>
      </w:r>
      <w:r w:rsidR="002F6A0D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Additionally,</w:t>
      </w:r>
      <w:r w:rsidR="005032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4415" w:rsidRPr="007313E2">
        <w:rPr>
          <w:rFonts w:ascii="Times New Roman" w:hAnsi="Times New Roman" w:cs="Times New Roman"/>
          <w:noProof w:val="0"/>
          <w:sz w:val="24"/>
          <w:szCs w:val="24"/>
        </w:rPr>
        <w:t>while assuming that all genetic effects were additive (AE), the restricted model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441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 the German sample 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fit the data equally as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full twin model (ACE) (Δχ2 = 53.49, </w:t>
      </w:r>
      <w:r w:rsidR="00221484"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>p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&gt; .05). </w:t>
      </w:r>
      <w:r w:rsidR="004226F3"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most appropriate fit indices </w:t>
      </w:r>
      <w:r w:rsidR="004226F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 the Serbian sample 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>were also</w:t>
      </w:r>
      <w:r w:rsidR="00DE4E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found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732A7" w:rsidRPr="007313E2">
        <w:rPr>
          <w:rFonts w:ascii="Times New Roman" w:hAnsi="Times New Roman" w:cs="Times New Roman"/>
          <w:noProof w:val="0"/>
          <w:sz w:val="24"/>
          <w:szCs w:val="24"/>
        </w:rPr>
        <w:t>in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B50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D4157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restricted 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>AE model</w:t>
      </w:r>
      <w:r w:rsidR="00DE4E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which has </w:t>
      </w:r>
      <w:r w:rsidR="004573A7" w:rsidRPr="007313E2">
        <w:rPr>
          <w:rFonts w:ascii="Times New Roman" w:hAnsi="Times New Roman" w:cs="Times New Roman"/>
          <w:noProof w:val="0"/>
          <w:sz w:val="24"/>
          <w:szCs w:val="24"/>
        </w:rPr>
        <w:t>similar</w:t>
      </w:r>
      <w:r w:rsidR="00DE4E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fit indices as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B54BD" w:rsidRPr="007313E2">
        <w:rPr>
          <w:rFonts w:ascii="Times New Roman" w:hAnsi="Times New Roman" w:cs="Times New Roman"/>
          <w:noProof w:val="0"/>
          <w:sz w:val="24"/>
          <w:szCs w:val="24"/>
        </w:rPr>
        <w:t>ACE model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(Δχ2 = 26.56, </w:t>
      </w:r>
      <w:r w:rsidR="00221484" w:rsidRPr="007313E2">
        <w:rPr>
          <w:rFonts w:ascii="Times New Roman" w:hAnsi="Times New Roman" w:cs="Times New Roman"/>
          <w:i/>
          <w:iCs/>
          <w:noProof w:val="0"/>
          <w:sz w:val="24"/>
          <w:szCs w:val="24"/>
        </w:rPr>
        <w:t>p</w:t>
      </w:r>
      <w:r w:rsidR="002214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&gt; .05).</w:t>
      </w:r>
      <w:r w:rsidR="00221484" w:rsidRPr="007313E2">
        <w:rPr>
          <w:noProof w:val="0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CFI</w:t>
      </w:r>
      <w:r w:rsidR="002F6A0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was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21D11" w:rsidRPr="007313E2">
        <w:rPr>
          <w:rFonts w:ascii="Times New Roman" w:hAnsi="Times New Roman" w:cs="Times New Roman"/>
          <w:noProof w:val="0"/>
          <w:sz w:val="24"/>
          <w:szCs w:val="24"/>
        </w:rPr>
        <w:t>lower than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.95</w:t>
      </w:r>
      <w:r w:rsidR="00B0597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only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for Neuroticism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German sample, RMSEA </w:t>
      </w:r>
      <w:r w:rsidR="00B5662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higher than .08 for Neuroticism and Organization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German sample</w:t>
      </w:r>
      <w:r w:rsidR="00B05973" w:rsidRPr="007313E2">
        <w:rPr>
          <w:rFonts w:ascii="Times New Roman" w:hAnsi="Times New Roman" w:cs="Times New Roman"/>
          <w:noProof w:val="0"/>
          <w:sz w:val="24"/>
          <w:szCs w:val="24"/>
        </w:rPr>
        <w:t>, and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SRMR values</w:t>
      </w:r>
      <w:r w:rsidR="00CD7A3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were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>above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.08 for Conscientiousness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German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sample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Extraversion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Serbian sample. As expected, genetic and environmental effects 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>were</w:t>
      </w:r>
      <w:r w:rsidR="00CC72F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similar in both samples. For BEQ factors in both samples, </w:t>
      </w:r>
      <w:r w:rsidR="0050325C" w:rsidRPr="007313E2">
        <w:rPr>
          <w:rFonts w:ascii="Times New Roman" w:hAnsi="Times New Roman" w:cs="Times New Roman"/>
          <w:noProof w:val="0"/>
          <w:sz w:val="24"/>
          <w:szCs w:val="24"/>
        </w:rPr>
        <w:t>genetic factors account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>ed</w:t>
      </w:r>
      <w:r w:rsidR="005032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31305" w:rsidRPr="007313E2">
        <w:rPr>
          <w:rFonts w:ascii="Times New Roman" w:hAnsi="Times New Roman" w:cs="Times New Roman"/>
          <w:noProof w:val="0"/>
          <w:sz w:val="24"/>
          <w:szCs w:val="24"/>
        </w:rPr>
        <w:t>for 63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% - </w:t>
      </w:r>
      <w:r w:rsidR="00A01907" w:rsidRPr="007313E2">
        <w:rPr>
          <w:rFonts w:ascii="Times New Roman" w:hAnsi="Times New Roman" w:cs="Times New Roman"/>
          <w:noProof w:val="0"/>
          <w:sz w:val="24"/>
          <w:szCs w:val="24"/>
        </w:rPr>
        <w:t>79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% of the variance. For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personality scales in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both samples</w:t>
      </w:r>
      <w:r w:rsidR="00AF40F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>about</w:t>
      </w:r>
      <w:r w:rsidR="00A0190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50% - 60% of the </w:t>
      </w:r>
      <w:r w:rsidR="00B0597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variance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>could be attributed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genetic factor</w:t>
      </w:r>
      <w:r w:rsidR="004F7A21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01907" w:rsidRPr="007313E2">
        <w:rPr>
          <w:rFonts w:ascii="Times New Roman" w:hAnsi="Times New Roman" w:cs="Times New Roman"/>
          <w:noProof w:val="0"/>
          <w:sz w:val="24"/>
          <w:szCs w:val="24"/>
        </w:rPr>
        <w:t>except fo</w:t>
      </w:r>
      <w:r w:rsidR="007E5B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Neuroticism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Serbian sample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where the genetic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somewhat smaller than the </w:t>
      </w:r>
      <w:r w:rsidR="00A0190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environmental </w:t>
      </w:r>
      <w:r w:rsidR="00921818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(38.5</w:t>
      </w:r>
      <w:proofErr w:type="gramStart"/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% :</w:t>
      </w:r>
      <w:proofErr w:type="gramEnd"/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61.5%). Cross</w:t>
      </w:r>
      <w:r w:rsidR="00CC72F4" w:rsidRPr="007313E2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twin correlations between monozygotic twins </w:t>
      </w:r>
      <w:r w:rsidR="009B2E8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were 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>higher for all measured variables</w:t>
      </w:r>
      <w:r w:rsidR="007E5B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both samples</w:t>
      </w:r>
      <w:r w:rsidR="00B319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/>
          <w:sz w:val="24"/>
          <w:szCs w:val="24"/>
        </w:rPr>
        <w:t>Table 2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>AE model fit and genetic and environmental effects for personality scales and BEQ factors in German and Serbian samples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893"/>
        <w:gridCol w:w="893"/>
        <w:gridCol w:w="1075"/>
        <w:gridCol w:w="972"/>
        <w:gridCol w:w="831"/>
        <w:gridCol w:w="831"/>
        <w:gridCol w:w="779"/>
        <w:gridCol w:w="762"/>
      </w:tblGrid>
      <w:tr w:rsidR="007313E2" w:rsidRPr="007313E2" w:rsidTr="0011636D">
        <w:tc>
          <w:tcPr>
            <w:tcW w:w="199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CFI</w:t>
            </w:r>
          </w:p>
        </w:tc>
        <w:tc>
          <w:tcPr>
            <w:tcW w:w="927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TLI</w:t>
            </w:r>
          </w:p>
        </w:tc>
        <w:tc>
          <w:tcPr>
            <w:tcW w:w="1083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RMSEA</w:t>
            </w:r>
          </w:p>
        </w:tc>
        <w:tc>
          <w:tcPr>
            <w:tcW w:w="994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SRMR</w:t>
            </w:r>
          </w:p>
        </w:tc>
        <w:tc>
          <w:tcPr>
            <w:tcW w:w="88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A%</w:t>
            </w:r>
          </w:p>
        </w:tc>
        <w:tc>
          <w:tcPr>
            <w:tcW w:w="88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E%</w:t>
            </w:r>
          </w:p>
        </w:tc>
        <w:tc>
          <w:tcPr>
            <w:tcW w:w="845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Mz</w:t>
            </w:r>
          </w:p>
        </w:tc>
        <w:tc>
          <w:tcPr>
            <w:tcW w:w="824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Dz</w:t>
            </w:r>
          </w:p>
        </w:tc>
      </w:tr>
      <w:tr w:rsidR="007313E2" w:rsidRPr="007313E2" w:rsidTr="0011636D"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German sample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11636D"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Neuroticism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</w:rPr>
              <w:t>0.936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0.968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58.1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41.9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.59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Extraversion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1.001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56.2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.56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Openness 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0.986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0.993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0.044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0.065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57.5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.59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Agreeableness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0.962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0.981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0.080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49.2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.48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Conscientiousness 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0.980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0.990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0.095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.56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.32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0.994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0.997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0.045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.78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.53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0.952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0.976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0.098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0.064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65.2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34.8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.47</w:t>
            </w:r>
          </w:p>
        </w:tc>
      </w:tr>
      <w:tr w:rsidR="007313E2" w:rsidRPr="007313E2" w:rsidTr="0011636D"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Serbian sample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11636D"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Neuroticism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1.000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1.037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Extraversion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64.3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35.7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.61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Openness 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1.038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45.4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Agreeableness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51.8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48.2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.52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Conscientiousness 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39.9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.62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1.006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65.6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34.4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.67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1.021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63.6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</w:tr>
    </w:tbl>
    <w:p w:rsidR="001F2DA8" w:rsidRPr="007313E2" w:rsidRDefault="001F2DA8" w:rsidP="001F2DA8">
      <w:pPr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lastRenderedPageBreak/>
        <w:t xml:space="preserve">Note. </w:t>
      </w:r>
      <w:r w:rsidRPr="007313E2">
        <w:rPr>
          <w:rFonts w:ascii="Times New Roman" w:hAnsi="Times New Roman"/>
          <w:sz w:val="24"/>
          <w:szCs w:val="24"/>
        </w:rPr>
        <w:t>A% - percent of additive genetic effect, E% - percent of non-shared environmental effect. r</w:t>
      </w:r>
      <w:r w:rsidRPr="007313E2">
        <w:rPr>
          <w:rFonts w:ascii="Times New Roman" w:hAnsi="Times New Roman"/>
          <w:sz w:val="24"/>
          <w:szCs w:val="24"/>
          <w:vertAlign w:val="subscript"/>
        </w:rPr>
        <w:t>Mz</w:t>
      </w:r>
      <w:r w:rsidRPr="007313E2">
        <w:rPr>
          <w:rFonts w:ascii="Times New Roman" w:hAnsi="Times New Roman"/>
          <w:sz w:val="24"/>
          <w:szCs w:val="24"/>
        </w:rPr>
        <w:t xml:space="preserve"> – Monozygotic cross-twin correlations, r</w:t>
      </w:r>
      <w:r w:rsidRPr="007313E2">
        <w:rPr>
          <w:rFonts w:ascii="Times New Roman" w:hAnsi="Times New Roman"/>
          <w:sz w:val="24"/>
          <w:szCs w:val="24"/>
          <w:vertAlign w:val="subscript"/>
        </w:rPr>
        <w:t xml:space="preserve">Dz </w:t>
      </w:r>
      <w:r w:rsidRPr="007313E2">
        <w:rPr>
          <w:rFonts w:ascii="Times New Roman" w:hAnsi="Times New Roman"/>
          <w:sz w:val="24"/>
          <w:szCs w:val="24"/>
        </w:rPr>
        <w:t xml:space="preserve">– Dizygotic cross-twin correlations.  </w:t>
      </w:r>
    </w:p>
    <w:p w:rsidR="00787929" w:rsidRPr="007313E2" w:rsidRDefault="00B319BB" w:rsidP="0065603A">
      <w:pPr>
        <w:spacing w:after="0" w:line="48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noProof w:val="0"/>
          <w:sz w:val="24"/>
          <w:szCs w:val="24"/>
        </w:rPr>
        <w:t>Multivariate Cholesky Genetic Analyses Model</w:t>
      </w:r>
    </w:p>
    <w:p w:rsidR="00790561" w:rsidRPr="007313E2" w:rsidRDefault="00B319B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In all cases</w:t>
      </w:r>
      <w:r w:rsidR="001C02B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(Table 3)</w:t>
      </w:r>
      <w:r w:rsidR="002E544F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models </w:t>
      </w:r>
      <w:r w:rsidR="00A66CF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including </w:t>
      </w:r>
      <w:r w:rsidR="00A0190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only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genetic and non-shared environment</w:t>
      </w:r>
      <w:r w:rsidR="00A66CF4" w:rsidRPr="007313E2">
        <w:rPr>
          <w:rFonts w:ascii="Times New Roman" w:hAnsi="Times New Roman" w:cs="Times New Roman"/>
          <w:noProof w:val="0"/>
          <w:sz w:val="24"/>
          <w:szCs w:val="24"/>
        </w:rPr>
        <w:t>al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effect</w:t>
      </w:r>
      <w:r w:rsidR="00A66CF4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F1F7B" w:rsidRPr="007313E2">
        <w:rPr>
          <w:rFonts w:ascii="Times New Roman" w:hAnsi="Times New Roman" w:cs="Times New Roman"/>
          <w:noProof w:val="0"/>
          <w:sz w:val="24"/>
          <w:szCs w:val="24"/>
        </w:rPr>
        <w:t>fit the data</w:t>
      </w:r>
      <w:r w:rsidR="00A66CF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better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These results are in </w:t>
      </w:r>
      <w:r w:rsidR="008243CF" w:rsidRPr="007313E2">
        <w:rPr>
          <w:rFonts w:ascii="Times New Roman" w:hAnsi="Times New Roman" w:cs="Times New Roman"/>
          <w:noProof w:val="0"/>
          <w:sz w:val="24"/>
          <w:szCs w:val="24"/>
        </w:rPr>
        <w:t>line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with univariate behavioral genetic analyses</w:t>
      </w:r>
      <w:r w:rsidR="002E544F" w:rsidRPr="007313E2">
        <w:rPr>
          <w:rFonts w:ascii="Times New Roman" w:hAnsi="Times New Roman" w:cs="Times New Roman"/>
          <w:noProof w:val="0"/>
          <w:sz w:val="24"/>
          <w:szCs w:val="24"/>
        </w:rPr>
        <w:t>, indicating</w:t>
      </w:r>
      <w:r w:rsidR="00B30BE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that personality traits, family environment and their relations are not significantly influenced by </w:t>
      </w:r>
      <w:r w:rsidR="00D5365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shared environment. 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313E2">
        <w:rPr>
          <w:rFonts w:ascii="Times New Roman" w:hAnsi="Times New Roman"/>
          <w:sz w:val="24"/>
          <w:szCs w:val="24"/>
        </w:rPr>
        <w:t>Table 3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>Model fit of Cholesky decomposition models for personality and BEQ factors</w:t>
      </w:r>
    </w:p>
    <w:tbl>
      <w:tblPr>
        <w:tblW w:w="93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080"/>
        <w:gridCol w:w="714"/>
        <w:gridCol w:w="636"/>
        <w:gridCol w:w="1080"/>
        <w:gridCol w:w="892"/>
      </w:tblGrid>
      <w:tr w:rsidR="007313E2" w:rsidRPr="007313E2" w:rsidTr="002809DD">
        <w:tc>
          <w:tcPr>
            <w:tcW w:w="495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BIC</w:t>
            </w:r>
          </w:p>
        </w:tc>
        <w:tc>
          <w:tcPr>
            <w:tcW w:w="714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CFI</w:t>
            </w:r>
          </w:p>
        </w:tc>
        <w:tc>
          <w:tcPr>
            <w:tcW w:w="636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TLI</w:t>
            </w:r>
          </w:p>
        </w:tc>
        <w:tc>
          <w:tcPr>
            <w:tcW w:w="108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RMSEA</w:t>
            </w:r>
          </w:p>
        </w:tc>
        <w:tc>
          <w:tcPr>
            <w:tcW w:w="892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SRMR</w:t>
            </w:r>
          </w:p>
        </w:tc>
      </w:tr>
      <w:tr w:rsidR="007313E2" w:rsidRPr="007313E2" w:rsidTr="002809DD"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German Sample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2809DD">
        <w:tc>
          <w:tcPr>
            <w:tcW w:w="495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/>
                <w:sz w:val="24"/>
                <w:szCs w:val="24"/>
              </w:rPr>
              <w:t>AE model, personality and Support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11288.0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0.98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0.07</w:t>
            </w:r>
          </w:p>
        </w:tc>
      </w:tr>
      <w:tr w:rsidR="007313E2" w:rsidRPr="007313E2" w:rsidTr="002809DD"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ACE model, personality and Support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11394.0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0.97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0.07</w:t>
            </w:r>
          </w:p>
        </w:tc>
      </w:tr>
      <w:tr w:rsidR="007313E2" w:rsidRPr="007313E2" w:rsidTr="002809DD"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/>
                <w:sz w:val="24"/>
                <w:szCs w:val="24"/>
              </w:rPr>
              <w:t>AE model, personality and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11445.0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0.97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0.07</w:t>
            </w:r>
          </w:p>
        </w:tc>
      </w:tr>
      <w:tr w:rsidR="007313E2" w:rsidRPr="007313E2" w:rsidTr="002809DD">
        <w:tc>
          <w:tcPr>
            <w:tcW w:w="495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ACE </w:t>
            </w: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model, personality and Organization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11550.0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0.97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0.07</w:t>
            </w:r>
          </w:p>
        </w:tc>
      </w:tr>
      <w:tr w:rsidR="007313E2" w:rsidRPr="007313E2" w:rsidTr="002809DD"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Serbian Sample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313E2" w:rsidRPr="007313E2" w:rsidTr="002809DD">
        <w:tc>
          <w:tcPr>
            <w:tcW w:w="495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/>
                <w:sz w:val="24"/>
                <w:szCs w:val="24"/>
              </w:rPr>
              <w:t>AE model, personality and Support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6090.7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0.94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0.06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0.09</w:t>
            </w:r>
          </w:p>
        </w:tc>
      </w:tr>
      <w:tr w:rsidR="007313E2" w:rsidRPr="007313E2" w:rsidTr="002809DD"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ACE model, personality and Support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6184.3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0.93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0.09</w:t>
            </w:r>
          </w:p>
        </w:tc>
      </w:tr>
      <w:tr w:rsidR="007313E2" w:rsidRPr="007313E2" w:rsidTr="002809DD"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b/>
                <w:sz w:val="24"/>
                <w:szCs w:val="24"/>
              </w:rPr>
              <w:t>AE model, personality and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6147.1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0.93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0.09</w:t>
            </w:r>
          </w:p>
        </w:tc>
      </w:tr>
      <w:tr w:rsidR="001F2DA8" w:rsidRPr="007313E2" w:rsidTr="002809DD">
        <w:tc>
          <w:tcPr>
            <w:tcW w:w="495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ACE </w:t>
            </w:r>
            <w:r w:rsidRPr="007313E2">
              <w:rPr>
                <w:rFonts w:ascii="Times New Roman" w:hAnsi="Times New Roman"/>
                <w:bCs/>
                <w:sz w:val="24"/>
                <w:szCs w:val="24"/>
              </w:rPr>
              <w:t>model, personality and Organization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6241.8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0.92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0.88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0.08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31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0.08</w:t>
            </w:r>
          </w:p>
        </w:tc>
      </w:tr>
    </w:tbl>
    <w:p w:rsidR="001F2DA8" w:rsidRPr="007313E2" w:rsidRDefault="001F2DA8" w:rsidP="00473F40">
      <w:pPr>
        <w:spacing w:after="0" w:line="480" w:lineRule="auto"/>
        <w:ind w:firstLine="720"/>
        <w:rPr>
          <w:rFonts w:ascii="Times New Roman" w:hAnsi="Times New Roman" w:cs="Times New Roman"/>
          <w:noProof w:val="0"/>
          <w:sz w:val="24"/>
          <w:szCs w:val="24"/>
        </w:rPr>
      </w:pPr>
    </w:p>
    <w:p w:rsidR="00787929" w:rsidRPr="007313E2" w:rsidRDefault="00B319B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Cholesky decomposition models allow genetic and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covariance to be separated and genetic and environmental correlations to be calculated (Table </w:t>
      </w:r>
      <w:r w:rsidR="00017311" w:rsidRPr="007313E2">
        <w:rPr>
          <w:rFonts w:ascii="Times New Roman" w:hAnsi="Times New Roman" w:cs="Times New Roman"/>
          <w:noProof w:val="0"/>
          <w:sz w:val="24"/>
          <w:szCs w:val="24"/>
        </w:rPr>
        <w:t>4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="004E2DF1" w:rsidRPr="007313E2">
        <w:rPr>
          <w:rFonts w:ascii="Times New Roman" w:hAnsi="Times New Roman" w:cs="Times New Roman"/>
          <w:noProof w:val="0"/>
          <w:sz w:val="24"/>
          <w:szCs w:val="24"/>
        </w:rPr>
        <w:t>The p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attern of phenotypic correlations is practically identical across samples for both family environment factors. In </w:t>
      </w:r>
      <w:r w:rsidR="0041535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case of Support</w:t>
      </w:r>
      <w:r w:rsidR="003C56E6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there are significant negative correlations with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Neuroticism and positive correlations with Extraversion, Agreeableness</w:t>
      </w:r>
      <w:r w:rsidR="00415359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Conscientiousness. Family organization is significantly correlated with Extraversion, Openness</w:t>
      </w:r>
      <w:r w:rsidR="00415359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Conscientiousness. 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313E2">
        <w:rPr>
          <w:rFonts w:ascii="Times New Roman" w:hAnsi="Times New Roman"/>
          <w:sz w:val="24"/>
          <w:szCs w:val="24"/>
        </w:rPr>
        <w:t>Table 4</w:t>
      </w:r>
    </w:p>
    <w:p w:rsidR="001F2DA8" w:rsidRPr="007313E2" w:rsidRDefault="001F2DA8" w:rsidP="001F2DA8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>Correlations between BEQ factors and personality traits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158"/>
        <w:gridCol w:w="1170"/>
        <w:gridCol w:w="1170"/>
        <w:gridCol w:w="1175"/>
        <w:gridCol w:w="1183"/>
        <w:gridCol w:w="1180"/>
      </w:tblGrid>
      <w:tr w:rsidR="007313E2" w:rsidRPr="007313E2" w:rsidTr="0011636D">
        <w:tc>
          <w:tcPr>
            <w:tcW w:w="1990" w:type="dxa"/>
            <w:tcBorders>
              <w:bottom w:val="single" w:sz="4" w:space="0" w:color="FFFFFF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</w:tr>
      <w:tr w:rsidR="007313E2" w:rsidRPr="007313E2" w:rsidTr="0011636D">
        <w:tc>
          <w:tcPr>
            <w:tcW w:w="1990" w:type="dxa"/>
            <w:tcBorders>
              <w:top w:val="single" w:sz="4" w:space="0" w:color="FFFFFF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224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229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235" w:type="dxa"/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3E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7313E2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E</w:t>
            </w:r>
          </w:p>
        </w:tc>
      </w:tr>
      <w:tr w:rsidR="007313E2" w:rsidRPr="007313E2" w:rsidTr="0011636D"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German Sample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11636D"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Neuroticism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-.32**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-.40**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-.14**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Extraversion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.24**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.26**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.16**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.15**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.14**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.15**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Openness 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-.09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.23**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.28**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.18**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Agreeableness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.18**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.23**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Conscientiousness 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.28**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.35**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.14**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.15**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vAlign w:val="bottom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.13**</w:t>
            </w:r>
          </w:p>
        </w:tc>
      </w:tr>
      <w:tr w:rsidR="007313E2" w:rsidRPr="007313E2" w:rsidTr="0011636D"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Serbian Sample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RPr="007313E2" w:rsidTr="0011636D"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Neuroticism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-.38**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-.37**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-.42**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-.07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-.17**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Extraversion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.20**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.18**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.21**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.22**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.27**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.19**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Openness 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-.12*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.16**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.14**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.22**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Agreeableness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.14**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.11*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.19**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-.02</w:t>
            </w:r>
          </w:p>
        </w:tc>
      </w:tr>
      <w:tr w:rsidR="007313E2" w:rsidRPr="007313E2" w:rsidTr="0011636D">
        <w:tc>
          <w:tcPr>
            <w:tcW w:w="199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 xml:space="preserve">Conscientiousness 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.27**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.25**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.25**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.24**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.35**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vAlign w:val="center"/>
          </w:tcPr>
          <w:p w:rsidR="001F2DA8" w:rsidRPr="007313E2" w:rsidRDefault="001F2DA8" w:rsidP="001163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F2DA8" w:rsidRPr="007313E2" w:rsidRDefault="001F2DA8" w:rsidP="001F2DA8">
      <w:pPr>
        <w:spacing w:line="480" w:lineRule="auto"/>
        <w:rPr>
          <w:rFonts w:ascii="Times New Roman" w:hAnsi="Times New Roman"/>
          <w:sz w:val="24"/>
          <w:szCs w:val="24"/>
        </w:rPr>
      </w:pPr>
      <w:r w:rsidRPr="007313E2">
        <w:rPr>
          <w:rFonts w:ascii="Times New Roman" w:hAnsi="Times New Roman"/>
          <w:i/>
          <w:iCs/>
          <w:sz w:val="24"/>
          <w:szCs w:val="24"/>
        </w:rPr>
        <w:t>Note. r</w:t>
      </w:r>
      <w:r w:rsidRPr="007313E2">
        <w:rPr>
          <w:rFonts w:ascii="Times New Roman" w:hAnsi="Times New Roman"/>
          <w:sz w:val="24"/>
          <w:szCs w:val="24"/>
        </w:rPr>
        <w:t xml:space="preserve"> – phenotypic Pearson correlations, </w:t>
      </w:r>
      <w:r w:rsidRPr="007313E2">
        <w:rPr>
          <w:rFonts w:ascii="Times New Roman" w:hAnsi="Times New Roman"/>
          <w:i/>
          <w:iCs/>
          <w:sz w:val="24"/>
          <w:szCs w:val="24"/>
        </w:rPr>
        <w:t>r</w:t>
      </w:r>
      <w:r w:rsidRPr="007313E2">
        <w:rPr>
          <w:rFonts w:ascii="Times New Roman" w:hAnsi="Times New Roman"/>
          <w:i/>
          <w:iCs/>
          <w:sz w:val="24"/>
          <w:szCs w:val="24"/>
          <w:vertAlign w:val="subscript"/>
        </w:rPr>
        <w:t>A</w:t>
      </w:r>
      <w:r w:rsidRPr="007313E2">
        <w:rPr>
          <w:rFonts w:ascii="Times New Roman" w:hAnsi="Times New Roman"/>
          <w:sz w:val="24"/>
          <w:szCs w:val="24"/>
        </w:rPr>
        <w:t xml:space="preserve"> – genetic correlations, </w:t>
      </w:r>
      <w:r w:rsidRPr="007313E2">
        <w:rPr>
          <w:rFonts w:ascii="Times New Roman" w:hAnsi="Times New Roman"/>
          <w:i/>
          <w:iCs/>
          <w:sz w:val="24"/>
          <w:szCs w:val="24"/>
        </w:rPr>
        <w:t>r</w:t>
      </w:r>
      <w:r w:rsidRPr="007313E2">
        <w:rPr>
          <w:rFonts w:ascii="Times New Roman" w:hAnsi="Times New Roman"/>
          <w:i/>
          <w:iCs/>
          <w:sz w:val="24"/>
          <w:szCs w:val="24"/>
          <w:vertAlign w:val="subscript"/>
        </w:rPr>
        <w:t>E</w:t>
      </w:r>
      <w:r w:rsidRPr="007313E2">
        <w:rPr>
          <w:rFonts w:ascii="Times New Roman" w:hAnsi="Times New Roman"/>
          <w:sz w:val="24"/>
          <w:szCs w:val="24"/>
        </w:rPr>
        <w:t xml:space="preserve"> – non-shared environment correlations. * </w:t>
      </w:r>
      <w:r w:rsidRPr="007313E2">
        <w:rPr>
          <w:rFonts w:ascii="Times New Roman" w:hAnsi="Times New Roman"/>
          <w:i/>
          <w:iCs/>
          <w:sz w:val="24"/>
          <w:szCs w:val="24"/>
        </w:rPr>
        <w:t>p</w:t>
      </w:r>
      <w:r w:rsidRPr="007313E2">
        <w:rPr>
          <w:rFonts w:ascii="Times New Roman" w:hAnsi="Times New Roman"/>
          <w:sz w:val="24"/>
          <w:szCs w:val="24"/>
        </w:rPr>
        <w:t xml:space="preserve"> &lt; .05, ** </w:t>
      </w:r>
      <w:r w:rsidRPr="007313E2">
        <w:rPr>
          <w:rFonts w:ascii="Times New Roman" w:hAnsi="Times New Roman"/>
          <w:i/>
          <w:iCs/>
          <w:sz w:val="24"/>
          <w:szCs w:val="24"/>
        </w:rPr>
        <w:t>p</w:t>
      </w:r>
      <w:r w:rsidRPr="007313E2">
        <w:rPr>
          <w:rFonts w:ascii="Times New Roman" w:hAnsi="Times New Roman"/>
          <w:sz w:val="24"/>
          <w:szCs w:val="24"/>
        </w:rPr>
        <w:t xml:space="preserve"> &lt; .01.</w:t>
      </w:r>
    </w:p>
    <w:p w:rsidR="00787929" w:rsidRPr="007313E2" w:rsidRDefault="00B319BB" w:rsidP="002809DD">
      <w:pPr>
        <w:spacing w:after="0" w:line="48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7313E2">
        <w:rPr>
          <w:rFonts w:ascii="Times New Roman" w:hAnsi="Times New Roman"/>
          <w:noProof w:val="0"/>
          <w:sz w:val="24"/>
          <w:szCs w:val="24"/>
        </w:rPr>
        <w:t xml:space="preserve">The polygenic basis of Support is negatively related to </w:t>
      </w:r>
      <w:r w:rsidR="00EA06D5" w:rsidRPr="007313E2">
        <w:rPr>
          <w:rFonts w:ascii="Times New Roman" w:hAnsi="Times New Roman"/>
          <w:noProof w:val="0"/>
          <w:sz w:val="24"/>
          <w:szCs w:val="24"/>
        </w:rPr>
        <w:t xml:space="preserve">the one of </w:t>
      </w:r>
      <w:r w:rsidRPr="007313E2">
        <w:rPr>
          <w:rFonts w:ascii="Times New Roman" w:hAnsi="Times New Roman"/>
          <w:noProof w:val="0"/>
          <w:sz w:val="24"/>
          <w:szCs w:val="24"/>
        </w:rPr>
        <w:t>Neuroticism in both samples, while Conscientiousness, Extraversion</w:t>
      </w:r>
      <w:r w:rsidR="00415359" w:rsidRPr="007313E2">
        <w:rPr>
          <w:rFonts w:ascii="Times New Roman" w:hAnsi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and Agreeableness are positively genetically related</w:t>
      </w:r>
      <w:r w:rsidR="00EA06D5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5B2F48" w:rsidRPr="007313E2">
        <w:rPr>
          <w:rFonts w:ascii="Times New Roman" w:hAnsi="Times New Roman"/>
          <w:noProof w:val="0"/>
          <w:sz w:val="24"/>
          <w:szCs w:val="24"/>
        </w:rPr>
        <w:t>to</w:t>
      </w:r>
      <w:r w:rsidR="00EA06D5" w:rsidRPr="007313E2">
        <w:rPr>
          <w:rFonts w:ascii="Times New Roman" w:hAnsi="Times New Roman"/>
          <w:noProof w:val="0"/>
          <w:sz w:val="24"/>
          <w:szCs w:val="24"/>
        </w:rPr>
        <w:t xml:space="preserve"> Support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. In 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case of Organization, positive </w:t>
      </w:r>
      <w:r w:rsidR="00EA06D5" w:rsidRPr="007313E2">
        <w:rPr>
          <w:rFonts w:ascii="Times New Roman" w:hAnsi="Times New Roman"/>
          <w:noProof w:val="0"/>
          <w:sz w:val="24"/>
          <w:szCs w:val="24"/>
        </w:rPr>
        <w:t xml:space="preserve">genetic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correlations are obtained for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Openness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to Experience,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Extraversion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and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Conscientiousness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, with </w:t>
      </w:r>
      <w:r w:rsidR="00471942" w:rsidRPr="007313E2">
        <w:rPr>
          <w:rFonts w:ascii="Times New Roman" w:hAnsi="Times New Roman"/>
          <w:noProof w:val="0"/>
          <w:sz w:val="24"/>
          <w:szCs w:val="24"/>
        </w:rPr>
        <w:t>higher correlations in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AF7585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lastRenderedPageBreak/>
        <w:t xml:space="preserve">German sample. As for the environmental correlations, Support is negatively related to Neuroticism, 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 xml:space="preserve">with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higher 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 xml:space="preserve">correlations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in </w:t>
      </w:r>
      <w:r w:rsidR="00AF7585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>Serbian sample. Extraversion</w:t>
      </w:r>
      <w:r w:rsidR="00471942" w:rsidRPr="007313E2">
        <w:rPr>
          <w:rFonts w:ascii="Times New Roman" w:hAnsi="Times New Roman"/>
          <w:noProof w:val="0"/>
          <w:sz w:val="24"/>
          <w:szCs w:val="24"/>
        </w:rPr>
        <w:t>, Agreeableness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and Conscientiousness are positively related to Support in </w:t>
      </w:r>
      <w:r w:rsidR="00AF7585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Serbian sample, while Extraversion has </w:t>
      </w:r>
      <w:r w:rsidR="00D16A81" w:rsidRPr="007313E2">
        <w:rPr>
          <w:rFonts w:ascii="Times New Roman" w:hAnsi="Times New Roman"/>
          <w:noProof w:val="0"/>
          <w:sz w:val="24"/>
          <w:szCs w:val="24"/>
        </w:rPr>
        <w:t xml:space="preserve">a </w:t>
      </w:r>
      <w:r w:rsidRPr="007313E2">
        <w:rPr>
          <w:rFonts w:ascii="Times New Roman" w:hAnsi="Times New Roman"/>
          <w:noProof w:val="0"/>
          <w:sz w:val="24"/>
          <w:szCs w:val="24"/>
        </w:rPr>
        <w:t>significant positi</w:t>
      </w:r>
      <w:r w:rsidR="00BC0F17" w:rsidRPr="007313E2">
        <w:rPr>
          <w:rFonts w:ascii="Times New Roman" w:hAnsi="Times New Roman"/>
          <w:noProof w:val="0"/>
          <w:sz w:val="24"/>
          <w:szCs w:val="24"/>
        </w:rPr>
        <w:t>ve</w:t>
      </w:r>
      <w:r w:rsidR="0042282B" w:rsidRPr="007313E2">
        <w:rPr>
          <w:rFonts w:ascii="Times New Roman" w:hAnsi="Times New Roman"/>
          <w:noProof w:val="0"/>
          <w:sz w:val="24"/>
          <w:szCs w:val="24"/>
        </w:rPr>
        <w:t>,</w:t>
      </w:r>
      <w:r w:rsidR="00BC0F17" w:rsidRPr="007313E2">
        <w:rPr>
          <w:rFonts w:ascii="Times New Roman" w:hAnsi="Times New Roman"/>
          <w:noProof w:val="0"/>
          <w:sz w:val="24"/>
          <w:szCs w:val="24"/>
        </w:rPr>
        <w:t xml:space="preserve"> but somewhat weaker relation</w:t>
      </w:r>
      <w:r w:rsidR="005255EF" w:rsidRPr="007313E2">
        <w:rPr>
          <w:rFonts w:ascii="Times New Roman" w:hAnsi="Times New Roman"/>
          <w:noProof w:val="0"/>
          <w:sz w:val="24"/>
          <w:szCs w:val="24"/>
        </w:rPr>
        <w:t>ship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with Support in </w:t>
      </w:r>
      <w:r w:rsidR="00AF7585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German sample. In </w:t>
      </w:r>
      <w:r w:rsidR="00D16A81" w:rsidRPr="007313E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case of Organization, </w:t>
      </w:r>
      <w:r w:rsidR="0092740B" w:rsidRPr="007313E2">
        <w:rPr>
          <w:rFonts w:ascii="Times New Roman" w:hAnsi="Times New Roman"/>
          <w:noProof w:val="0"/>
          <w:sz w:val="24"/>
          <w:szCs w:val="24"/>
        </w:rPr>
        <w:t>although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there are statistically significant </w:t>
      </w:r>
      <w:r w:rsidR="00471942" w:rsidRPr="007313E2">
        <w:rPr>
          <w:rFonts w:ascii="Times New Roman" w:hAnsi="Times New Roman"/>
          <w:noProof w:val="0"/>
          <w:sz w:val="24"/>
          <w:szCs w:val="24"/>
        </w:rPr>
        <w:t xml:space="preserve">positive 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environmental correlations </w:t>
      </w:r>
      <w:r w:rsidR="00471942" w:rsidRPr="007313E2">
        <w:rPr>
          <w:rFonts w:ascii="Times New Roman" w:hAnsi="Times New Roman"/>
          <w:noProof w:val="0"/>
          <w:sz w:val="24"/>
          <w:szCs w:val="24"/>
        </w:rPr>
        <w:t xml:space="preserve">with Extraversion and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Openness</w:t>
      </w:r>
      <w:r w:rsidR="00471942" w:rsidRPr="007313E2">
        <w:rPr>
          <w:rFonts w:ascii="Times New Roman" w:hAnsi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C0F17" w:rsidRPr="007313E2">
        <w:rPr>
          <w:rFonts w:ascii="Times New Roman" w:hAnsi="Times New Roman"/>
          <w:noProof w:val="0"/>
          <w:sz w:val="24"/>
          <w:szCs w:val="24"/>
        </w:rPr>
        <w:t>they are of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92740B" w:rsidRPr="007313E2">
        <w:rPr>
          <w:rFonts w:ascii="Times New Roman" w:hAnsi="Times New Roman"/>
          <w:noProof w:val="0"/>
          <w:sz w:val="24"/>
          <w:szCs w:val="24"/>
        </w:rPr>
        <w:t>rather</w:t>
      </w:r>
      <w:r w:rsidR="00473F40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C0F17" w:rsidRPr="007313E2">
        <w:rPr>
          <w:rFonts w:ascii="Times New Roman" w:hAnsi="Times New Roman"/>
          <w:noProof w:val="0"/>
          <w:sz w:val="24"/>
          <w:szCs w:val="24"/>
        </w:rPr>
        <w:t>low magnitude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in both samples.</w:t>
      </w:r>
    </w:p>
    <w:p w:rsidR="00E007F2" w:rsidRPr="007313E2" w:rsidRDefault="00650B4B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</w:pPr>
      <w:r w:rsidRPr="007313E2">
        <w:rPr>
          <w:rFonts w:ascii="Times New Roman" w:hAnsi="Times New Roman"/>
          <w:noProof w:val="0"/>
          <w:sz w:val="24"/>
          <w:szCs w:val="24"/>
        </w:rPr>
        <w:t xml:space="preserve">The procedure for </w:t>
      </w:r>
      <w:r w:rsidR="00A42750" w:rsidRPr="007313E2">
        <w:rPr>
          <w:rFonts w:ascii="Times New Roman" w:hAnsi="Times New Roman"/>
          <w:noProof w:val="0"/>
          <w:sz w:val="24"/>
          <w:szCs w:val="24"/>
        </w:rPr>
        <w:t xml:space="preserve">comparing </w:t>
      </w:r>
      <w:r w:rsidRPr="007313E2">
        <w:rPr>
          <w:rFonts w:ascii="Times New Roman" w:hAnsi="Times New Roman"/>
          <w:noProof w:val="0"/>
          <w:sz w:val="24"/>
          <w:szCs w:val="24"/>
        </w:rPr>
        <w:t>correlation matrices</w:t>
      </w:r>
      <w:r w:rsidR="00143A6F" w:rsidRPr="007313E2">
        <w:rPr>
          <w:rFonts w:ascii="Times New Roman" w:hAnsi="Times New Roman"/>
          <w:noProof w:val="0"/>
          <w:sz w:val="24"/>
          <w:szCs w:val="24"/>
        </w:rPr>
        <w:t xml:space="preserve"> is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proposed and explained in detail by Gardiner</w:t>
      </w:r>
      <w:r w:rsidR="00E007F2" w:rsidRPr="007313E2">
        <w:rPr>
          <w:rFonts w:ascii="Times New Roman" w:hAnsi="Times New Roman"/>
          <w:noProof w:val="0"/>
          <w:sz w:val="24"/>
          <w:szCs w:val="24"/>
        </w:rPr>
        <w:t xml:space="preserve"> et al. </w:t>
      </w:r>
      <w:r w:rsidRPr="007313E2">
        <w:rPr>
          <w:rFonts w:ascii="Times New Roman" w:hAnsi="Times New Roman"/>
          <w:noProof w:val="0"/>
          <w:sz w:val="24"/>
          <w:szCs w:val="24"/>
        </w:rPr>
        <w:t>(2019)</w:t>
      </w:r>
      <w:r w:rsidR="00143A6F" w:rsidRPr="007313E2">
        <w:rPr>
          <w:rFonts w:ascii="Times New Roman" w:hAnsi="Times New Roman"/>
          <w:noProof w:val="0"/>
          <w:sz w:val="24"/>
          <w:szCs w:val="24"/>
        </w:rPr>
        <w:t xml:space="preserve">.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 inter-item correlation matrix was created for each country by correlating each measure with </w:t>
      </w:r>
      <w:r w:rsidR="005E03F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one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other measure, resulting in </w:t>
      </w:r>
      <w:r w:rsidR="005E03F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measure matrix for each country. </w:t>
      </w:r>
      <w:r w:rsidR="00433BB0" w:rsidRPr="007313E2">
        <w:rPr>
          <w:rFonts w:ascii="Times New Roman" w:hAnsi="Times New Roman" w:cs="Times New Roman"/>
          <w:noProof w:val="0"/>
          <w:sz w:val="24"/>
          <w:szCs w:val="24"/>
        </w:rPr>
        <w:t>In addition</w:t>
      </w:r>
      <w:r w:rsidR="00667DA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each country’s </w:t>
      </w:r>
      <w:r w:rsidR="00667DAC" w:rsidRPr="007313E2">
        <w:rPr>
          <w:rFonts w:ascii="Times New Roman" w:hAnsi="Times New Roman" w:cs="Times New Roman"/>
          <w:noProof w:val="0"/>
          <w:sz w:val="24"/>
          <w:szCs w:val="24"/>
        </w:rPr>
        <w:t>cross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-measure correlation matrix was correlated with </w:t>
      </w:r>
      <w:r w:rsidR="00667DA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other country’s correlation matrix, resulting in a 2 x 2 correlation matrix. The resulting correlations between countries represent the degree of similarity between cultures, with higher numbers indicating </w:t>
      </w:r>
      <w:r w:rsidR="006C530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EC18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greater 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</w:rPr>
        <w:t>similarity between countries.</w:t>
      </w:r>
      <w:r w:rsidR="00C67049" w:rsidRPr="007313E2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 </w:t>
      </w:r>
      <w:r w:rsidR="00143A6F" w:rsidRPr="007313E2">
        <w:rPr>
          <w:rFonts w:ascii="Times New Roman" w:hAnsi="Times New Roman"/>
          <w:noProof w:val="0"/>
          <w:sz w:val="24"/>
          <w:szCs w:val="24"/>
        </w:rPr>
        <w:t>I</w:t>
      </w:r>
      <w:r w:rsidRPr="007313E2">
        <w:rPr>
          <w:rFonts w:ascii="Times New Roman" w:hAnsi="Times New Roman"/>
          <w:noProof w:val="0"/>
          <w:sz w:val="24"/>
          <w:szCs w:val="24"/>
        </w:rPr>
        <w:t>n this case</w:t>
      </w:r>
      <w:r w:rsidR="00076716" w:rsidRPr="007313E2">
        <w:rPr>
          <w:rFonts w:ascii="Times New Roman" w:hAnsi="Times New Roman"/>
          <w:noProof w:val="0"/>
          <w:sz w:val="24"/>
          <w:szCs w:val="24"/>
        </w:rPr>
        <w:t>, the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similarities </w:t>
      </w:r>
      <w:r w:rsidR="00076716" w:rsidRPr="007313E2">
        <w:rPr>
          <w:rFonts w:ascii="Times New Roman" w:hAnsi="Times New Roman"/>
          <w:noProof w:val="0"/>
          <w:sz w:val="24"/>
          <w:szCs w:val="24"/>
        </w:rPr>
        <w:t xml:space="preserve">between </w:t>
      </w:r>
      <w:r w:rsidRPr="007313E2">
        <w:rPr>
          <w:rFonts w:ascii="Times New Roman" w:hAnsi="Times New Roman"/>
          <w:noProof w:val="0"/>
          <w:sz w:val="24"/>
          <w:szCs w:val="24"/>
        </w:rPr>
        <w:t>geneti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c 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>(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τ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 xml:space="preserve"> = .51, </w:t>
      </w:r>
      <w:r w:rsidR="008D6F93" w:rsidRPr="007313E2">
        <w:rPr>
          <w:rFonts w:ascii="Times New Roman" w:hAnsi="Times New Roman"/>
          <w:i/>
          <w:iCs/>
          <w:noProof w:val="0"/>
          <w:sz w:val="24"/>
          <w:szCs w:val="24"/>
        </w:rPr>
        <w:t>p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 xml:space="preserve"> &lt; .05)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and environmental 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>(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τ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 xml:space="preserve"> = .54, </w:t>
      </w:r>
      <w:r w:rsidR="008D6F93" w:rsidRPr="007313E2">
        <w:rPr>
          <w:rFonts w:ascii="Times New Roman" w:hAnsi="Times New Roman"/>
          <w:i/>
          <w:iCs/>
          <w:noProof w:val="0"/>
          <w:sz w:val="24"/>
          <w:szCs w:val="24"/>
        </w:rPr>
        <w:t>p</w:t>
      </w:r>
      <w:r w:rsidR="008D6F93" w:rsidRPr="007313E2">
        <w:rPr>
          <w:rFonts w:ascii="Times New Roman" w:hAnsi="Times New Roman"/>
          <w:noProof w:val="0"/>
          <w:sz w:val="24"/>
          <w:szCs w:val="24"/>
        </w:rPr>
        <w:t xml:space="preserve"> &lt; .05)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>correlation patterns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for </w:t>
      </w:r>
      <w:r w:rsidRPr="007313E2">
        <w:rPr>
          <w:rFonts w:ascii="Times New Roman" w:hAnsi="Times New Roman"/>
          <w:noProof w:val="0"/>
          <w:sz w:val="24"/>
          <w:szCs w:val="24"/>
        </w:rPr>
        <w:t>FFM and BEQ dimensions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076716" w:rsidRPr="007313E2">
        <w:rPr>
          <w:rFonts w:ascii="Times New Roman" w:hAnsi="Times New Roman"/>
          <w:noProof w:val="0"/>
          <w:sz w:val="24"/>
          <w:szCs w:val="24"/>
        </w:rPr>
        <w:t xml:space="preserve">were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>calculated</w:t>
      </w:r>
      <w:r w:rsidRPr="007313E2">
        <w:rPr>
          <w:rFonts w:ascii="Times New Roman" w:hAnsi="Times New Roman"/>
          <w:noProof w:val="0"/>
          <w:sz w:val="24"/>
          <w:szCs w:val="24"/>
        </w:rPr>
        <w:t xml:space="preserve">. </w:t>
      </w:r>
      <w:r w:rsidR="008732A7" w:rsidRPr="007313E2">
        <w:rPr>
          <w:rFonts w:ascii="Times New Roman" w:hAnsi="Times New Roman"/>
          <w:noProof w:val="0"/>
          <w:sz w:val="24"/>
          <w:szCs w:val="24"/>
        </w:rPr>
        <w:t>These results</w:t>
      </w:r>
      <w:r w:rsidR="00A84973" w:rsidRPr="007313E2">
        <w:rPr>
          <w:rFonts w:ascii="Times New Roman" w:hAnsi="Times New Roman"/>
          <w:noProof w:val="0"/>
          <w:sz w:val="24"/>
          <w:szCs w:val="24"/>
        </w:rPr>
        <w:t xml:space="preserve"> indicate</w:t>
      </w:r>
      <w:r w:rsidR="00C50DC0" w:rsidRPr="007313E2">
        <w:rPr>
          <w:rFonts w:ascii="Times New Roman" w:hAnsi="Times New Roman"/>
          <w:noProof w:val="0"/>
          <w:sz w:val="24"/>
          <w:szCs w:val="24"/>
        </w:rPr>
        <w:t>d</w:t>
      </w:r>
      <w:r w:rsidR="00A84973" w:rsidRPr="007313E2">
        <w:rPr>
          <w:rFonts w:ascii="Times New Roman" w:hAnsi="Times New Roman"/>
          <w:noProof w:val="0"/>
          <w:sz w:val="24"/>
          <w:szCs w:val="24"/>
        </w:rPr>
        <w:t xml:space="preserve"> pronounced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A84973" w:rsidRPr="007313E2">
        <w:rPr>
          <w:rFonts w:ascii="Times New Roman" w:hAnsi="Times New Roman"/>
          <w:noProof w:val="0"/>
          <w:sz w:val="24"/>
          <w:szCs w:val="24"/>
        </w:rPr>
        <w:t xml:space="preserve">similarities </w:t>
      </w:r>
      <w:r w:rsidR="00F13E33" w:rsidRPr="007313E2">
        <w:rPr>
          <w:rFonts w:ascii="Times New Roman" w:hAnsi="Times New Roman"/>
          <w:noProof w:val="0"/>
          <w:sz w:val="24"/>
          <w:szCs w:val="24"/>
        </w:rPr>
        <w:t xml:space="preserve">between patterns of genetic correlations </w:t>
      </w:r>
      <w:r w:rsidR="00C50DC0" w:rsidRPr="007313E2">
        <w:rPr>
          <w:rFonts w:ascii="Times New Roman" w:hAnsi="Times New Roman"/>
          <w:noProof w:val="0"/>
          <w:sz w:val="24"/>
          <w:szCs w:val="24"/>
        </w:rPr>
        <w:t xml:space="preserve">across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>cultures, a</w:t>
      </w:r>
      <w:r w:rsidR="00A84973" w:rsidRPr="007313E2">
        <w:rPr>
          <w:rFonts w:ascii="Times New Roman" w:hAnsi="Times New Roman"/>
          <w:noProof w:val="0"/>
          <w:sz w:val="24"/>
          <w:szCs w:val="24"/>
        </w:rPr>
        <w:t xml:space="preserve">s 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 xml:space="preserve">well as significant </w:t>
      </w:r>
      <w:r w:rsidR="00A84973" w:rsidRPr="007313E2">
        <w:rPr>
          <w:rFonts w:ascii="Times New Roman" w:hAnsi="Times New Roman"/>
          <w:noProof w:val="0"/>
          <w:sz w:val="24"/>
          <w:szCs w:val="24"/>
        </w:rPr>
        <w:t>similarities between environmental correlation patterns</w:t>
      </w:r>
      <w:r w:rsidR="00B23D86" w:rsidRPr="007313E2">
        <w:rPr>
          <w:rFonts w:ascii="Times New Roman" w:hAnsi="Times New Roman"/>
          <w:noProof w:val="0"/>
          <w:sz w:val="24"/>
          <w:szCs w:val="24"/>
        </w:rPr>
        <w:t>.</w:t>
      </w:r>
    </w:p>
    <w:p w:rsidR="00787929" w:rsidRPr="007313E2" w:rsidRDefault="003C72A2" w:rsidP="0065603A">
      <w:pPr>
        <w:pStyle w:val="ListParagraph"/>
        <w:spacing w:line="480" w:lineRule="auto"/>
        <w:ind w:left="3697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b/>
          <w:noProof w:val="0"/>
          <w:sz w:val="24"/>
          <w:szCs w:val="24"/>
        </w:rPr>
        <w:t>Discussion</w:t>
      </w:r>
    </w:p>
    <w:p w:rsidR="00787929" w:rsidRPr="007313E2" w:rsidRDefault="00D268FC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</w:t>
      </w:r>
      <w:r w:rsidR="005F412A" w:rsidRPr="007313E2">
        <w:rPr>
          <w:rFonts w:ascii="Times New Roman" w:hAnsi="Times New Roman" w:cs="Times New Roman"/>
          <w:noProof w:val="0"/>
          <w:sz w:val="24"/>
          <w:szCs w:val="24"/>
        </w:rPr>
        <w:t>e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aim of </w:t>
      </w:r>
      <w:r w:rsidR="00997F4E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his study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was to </w:t>
      </w:r>
      <w:r w:rsidR="00AD025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investigate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etiological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mechanisms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between</w:t>
      </w:r>
      <w:r w:rsidR="00997F4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817AAB" w:rsidRPr="007313E2">
        <w:rPr>
          <w:rFonts w:ascii="Times New Roman" w:hAnsi="Times New Roman" w:cs="Times New Roman"/>
          <w:noProof w:val="0"/>
          <w:sz w:val="24"/>
          <w:szCs w:val="24"/>
        </w:rPr>
        <w:t>e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rceived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family environment and personality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traits in light of cultural differences</w:t>
      </w:r>
      <w:r w:rsidR="00D72D6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4C77FF" w:rsidRPr="007313E2">
        <w:rPr>
          <w:rFonts w:ascii="Times New Roman" w:hAnsi="Times New Roman" w:cs="Times New Roman"/>
          <w:noProof w:val="0"/>
          <w:sz w:val="24"/>
          <w:szCs w:val="24"/>
        </w:rPr>
        <w:t>It focuse</w:t>
      </w:r>
      <w:r w:rsidR="00113C11" w:rsidRPr="007313E2">
        <w:rPr>
          <w:rFonts w:ascii="Times New Roman" w:hAnsi="Times New Roman" w:cs="Times New Roman"/>
          <w:noProof w:val="0"/>
          <w:sz w:val="24"/>
          <w:szCs w:val="24"/>
        </w:rPr>
        <w:t>d</w:t>
      </w:r>
      <w:r w:rsidR="004C77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 the genetic</w:t>
      </w:r>
      <w:r w:rsidR="005F412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r w:rsidR="00BC0F17" w:rsidRPr="007313E2">
        <w:rPr>
          <w:rFonts w:ascii="Times New Roman" w:hAnsi="Times New Roman" w:cs="Times New Roman"/>
          <w:noProof w:val="0"/>
          <w:sz w:val="24"/>
          <w:szCs w:val="24"/>
        </w:rPr>
        <w:t>environmental</w:t>
      </w:r>
      <w:r w:rsidR="0082458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C77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overlap between personality traits and </w:t>
      </w:r>
      <w:r w:rsidR="00113C1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C77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order to examine wheth</w:t>
      </w:r>
      <w:r w:rsidR="0082458B" w:rsidRPr="007313E2">
        <w:rPr>
          <w:rFonts w:ascii="Times New Roman" w:hAnsi="Times New Roman" w:cs="Times New Roman"/>
          <w:noProof w:val="0"/>
          <w:sz w:val="24"/>
          <w:szCs w:val="24"/>
        </w:rPr>
        <w:t>er they share some common sources of variance</w:t>
      </w:r>
      <w:r w:rsidR="004C77F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By comparing </w:t>
      </w:r>
      <w:r w:rsidR="0004178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results of behavioral genetic analyses on samples </w:t>
      </w:r>
      <w:r w:rsidR="00C730A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twins </w:t>
      </w:r>
      <w:r w:rsidR="0004178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from two cultures, possible cultural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effects</w:t>
      </w:r>
      <w:r w:rsidR="0082458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on</w:t>
      </w:r>
      <w:r w:rsidR="0004178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genetic and environmental link</w:t>
      </w:r>
      <w:r w:rsidR="006823B6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04178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between personality and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6158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802E3" w:rsidRPr="007313E2">
        <w:rPr>
          <w:rFonts w:ascii="Times New Roman" w:hAnsi="Times New Roman" w:cs="Times New Roman"/>
          <w:noProof w:val="0"/>
          <w:sz w:val="24"/>
          <w:szCs w:val="24"/>
        </w:rPr>
        <w:t>were</w:t>
      </w:r>
      <w:r w:rsidR="00682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5893" w:rsidRPr="007313E2">
        <w:rPr>
          <w:rFonts w:ascii="Times New Roman" w:hAnsi="Times New Roman" w:cs="Times New Roman"/>
          <w:noProof w:val="0"/>
          <w:sz w:val="24"/>
          <w:szCs w:val="24"/>
        </w:rPr>
        <w:t>also examined</w:t>
      </w:r>
      <w:r w:rsidR="0004178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787929" w:rsidRPr="007313E2" w:rsidRDefault="00B118BD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The r</w:t>
      </w:r>
      <w:r w:rsidR="0072196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esults </w:t>
      </w:r>
      <w:r w:rsidR="003B5709" w:rsidRPr="007313E2">
        <w:rPr>
          <w:rFonts w:ascii="Times New Roman" w:hAnsi="Times New Roman" w:cs="Times New Roman"/>
          <w:noProof w:val="0"/>
          <w:sz w:val="24"/>
          <w:szCs w:val="24"/>
        </w:rPr>
        <w:t>regarding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 </w:t>
      </w:r>
      <w:r w:rsidR="00721966" w:rsidRPr="007313E2">
        <w:rPr>
          <w:rFonts w:ascii="Times New Roman" w:hAnsi="Times New Roman" w:cs="Times New Roman"/>
          <w:noProof w:val="0"/>
          <w:sz w:val="24"/>
          <w:szCs w:val="24"/>
        </w:rPr>
        <w:t>g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enetic and environmental contribution to the variance of personality traits and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both samples</w:t>
      </w:r>
      <w:r w:rsidR="00657A1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21966" w:rsidRPr="007313E2">
        <w:rPr>
          <w:rFonts w:ascii="Times New Roman" w:hAnsi="Times New Roman" w:cs="Times New Roman"/>
          <w:noProof w:val="0"/>
          <w:sz w:val="24"/>
          <w:szCs w:val="24"/>
        </w:rPr>
        <w:t>are consistent with previous findings (</w:t>
      </w:r>
      <w:r w:rsidR="00F5560A" w:rsidRPr="007313E2">
        <w:rPr>
          <w:rFonts w:ascii="Times New Roman" w:hAnsi="Times New Roman" w:cs="Times New Roman"/>
          <w:noProof w:val="0"/>
          <w:sz w:val="24"/>
          <w:szCs w:val="24"/>
        </w:rPr>
        <w:t>e.g.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F5560A" w:rsidRPr="007313E2">
        <w:rPr>
          <w:rFonts w:ascii="Times New Roman" w:hAnsi="Times New Roman"/>
          <w:noProof w:val="0"/>
          <w:sz w:val="24"/>
          <w:szCs w:val="24"/>
        </w:rPr>
        <w:t>Vukasović</w:t>
      </w:r>
      <w:proofErr w:type="spellEnd"/>
      <w:r w:rsidR="00F5560A" w:rsidRPr="007313E2">
        <w:rPr>
          <w:rFonts w:ascii="Times New Roman" w:hAnsi="Times New Roman"/>
          <w:noProof w:val="0"/>
          <w:sz w:val="24"/>
          <w:szCs w:val="24"/>
        </w:rPr>
        <w:t xml:space="preserve"> &amp; </w:t>
      </w:r>
      <w:proofErr w:type="spellStart"/>
      <w:r w:rsidR="00F5560A" w:rsidRPr="007313E2">
        <w:rPr>
          <w:rFonts w:ascii="Times New Roman" w:hAnsi="Times New Roman"/>
          <w:noProof w:val="0"/>
          <w:sz w:val="24"/>
          <w:szCs w:val="24"/>
        </w:rPr>
        <w:t>Bratko</w:t>
      </w:r>
      <w:proofErr w:type="spellEnd"/>
      <w:r w:rsidR="00F5560A" w:rsidRPr="007313E2">
        <w:rPr>
          <w:rFonts w:ascii="Times New Roman" w:hAnsi="Times New Roman"/>
          <w:noProof w:val="0"/>
          <w:sz w:val="24"/>
          <w:szCs w:val="24"/>
        </w:rPr>
        <w:t>, 2015</w:t>
      </w:r>
      <w:r w:rsidR="00721966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The two samples are very similar in this respect, with additive genetic and non-shared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best explaining the variance of all variables in both samples. The magnitudes </w:t>
      </w:r>
      <w:r w:rsidR="00A3783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the effects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are approximately the same in both samples for most variables, with the exception of Neuroticism in the Serbian sample</w:t>
      </w:r>
      <w:r w:rsidR="00D3335D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151F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which shows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a smaller</w:t>
      </w:r>
      <w:r w:rsidR="00D333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contribution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, and Extraversion</w:t>
      </w:r>
      <w:r w:rsidR="007151F9" w:rsidRPr="007313E2">
        <w:rPr>
          <w:rFonts w:ascii="Times New Roman" w:hAnsi="Times New Roman" w:cs="Times New Roman"/>
          <w:noProof w:val="0"/>
          <w:sz w:val="24"/>
          <w:szCs w:val="24"/>
        </w:rPr>
        <w:t>, which shows</w:t>
      </w:r>
      <w:r w:rsidR="009165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151F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slightly higher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contribution of genetic factors than in the German sample. These </w:t>
      </w:r>
      <w:r w:rsidR="008961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small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differences between </w:t>
      </w:r>
      <w:r w:rsidR="008961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samples could be related to some methodolog</w:t>
      </w:r>
      <w:r w:rsidR="002A030E" w:rsidRPr="007313E2">
        <w:rPr>
          <w:rFonts w:ascii="Times New Roman" w:hAnsi="Times New Roman" w:cs="Times New Roman"/>
          <w:noProof w:val="0"/>
          <w:sz w:val="24"/>
          <w:szCs w:val="24"/>
        </w:rPr>
        <w:t>ical issues</w:t>
      </w:r>
      <w:r w:rsidR="008A70A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such as </w:t>
      </w:r>
      <w:r w:rsidR="008961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difference in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sample size, but the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some cultural factors </w:t>
      </w:r>
      <w:r w:rsidR="0082458B" w:rsidRPr="007313E2">
        <w:rPr>
          <w:rFonts w:ascii="Times New Roman" w:hAnsi="Times New Roman" w:cs="Times New Roman"/>
          <w:noProof w:val="0"/>
          <w:sz w:val="24"/>
          <w:szCs w:val="24"/>
        </w:rPr>
        <w:t>should not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 excluded</w:t>
      </w:r>
      <w:r w:rsidR="00987E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either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BC0F1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 </w:t>
      </w:r>
      <w:r w:rsidR="009738DF" w:rsidRPr="007313E2">
        <w:rPr>
          <w:rFonts w:ascii="Times New Roman" w:hAnsi="Times New Roman" w:cs="Times New Roman"/>
          <w:noProof w:val="0"/>
          <w:sz w:val="24"/>
          <w:szCs w:val="24"/>
        </w:rPr>
        <w:t>precisely,</w:t>
      </w:r>
      <w:r w:rsidR="009165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living conditions in Serbia could be described as economically </w:t>
      </w:r>
      <w:r w:rsidR="004572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less stable </w:t>
      </w:r>
      <w:r w:rsidR="006158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than </w:t>
      </w:r>
      <w:r w:rsidR="00394F62" w:rsidRPr="007313E2">
        <w:rPr>
          <w:rFonts w:ascii="Times New Roman" w:hAnsi="Times New Roman" w:cs="Times New Roman"/>
          <w:noProof w:val="0"/>
          <w:sz w:val="24"/>
          <w:szCs w:val="24"/>
        </w:rPr>
        <w:t>German ones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>, with</w:t>
      </w:r>
      <w:r w:rsidR="006848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E70BA0" w:rsidRPr="007313E2">
        <w:rPr>
          <w:rFonts w:ascii="Times New Roman" w:hAnsi="Times New Roman" w:cs="Times New Roman"/>
          <w:noProof w:val="0"/>
          <w:sz w:val="24"/>
          <w:szCs w:val="24"/>
        </w:rPr>
        <w:t>ower personal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human freedom</w:t>
      </w:r>
      <w:r w:rsidR="009B2084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E70BA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70BA0" w:rsidRPr="007313E2">
        <w:rPr>
          <w:rFonts w:ascii="Times New Roman" w:hAnsi="Times New Roman"/>
          <w:noProof w:val="0"/>
          <w:sz w:val="24"/>
          <w:szCs w:val="24"/>
        </w:rPr>
        <w:t xml:space="preserve">(Vásquez &amp; </w:t>
      </w:r>
      <w:proofErr w:type="spellStart"/>
      <w:r w:rsidR="00E70BA0" w:rsidRPr="007313E2">
        <w:rPr>
          <w:rFonts w:ascii="Times New Roman" w:hAnsi="Times New Roman"/>
          <w:noProof w:val="0"/>
          <w:sz w:val="24"/>
          <w:szCs w:val="24"/>
        </w:rPr>
        <w:t>Porčnik</w:t>
      </w:r>
      <w:proofErr w:type="spellEnd"/>
      <w:r w:rsidR="00E70BA0" w:rsidRPr="007313E2">
        <w:rPr>
          <w:rFonts w:ascii="Times New Roman" w:hAnsi="Times New Roman"/>
          <w:noProof w:val="0"/>
          <w:sz w:val="24"/>
          <w:szCs w:val="24"/>
        </w:rPr>
        <w:t>, 2018)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5D6ADC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D333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hese 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factors have </w:t>
      </w:r>
      <w:r w:rsidR="009738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potential to </w:t>
      </w:r>
      <w:r w:rsidR="009738D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cause 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higher levels of tension in everyday life.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Restrictive environmental conditions tend to attenuate the expression of hereditary dispositions that are more sensitive to such conditions</w:t>
      </w:r>
      <w:r w:rsidR="004572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4E2BE1" w:rsidRPr="007313E2">
        <w:rPr>
          <w:rFonts w:ascii="Times New Roman" w:eastAsia="Times New Roman" w:hAnsi="Times New Roman" w:cs="Times New Roman"/>
          <w:noProof w:val="0"/>
          <w:sz w:val="24"/>
          <w:szCs w:val="24"/>
        </w:rPr>
        <w:t>Tsuang</w:t>
      </w:r>
      <w:proofErr w:type="spellEnd"/>
      <w:r w:rsidR="00E007F2" w:rsidRPr="007313E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et al.</w:t>
      </w:r>
      <w:r w:rsidR="004E2BE1" w:rsidRPr="007313E2">
        <w:rPr>
          <w:rFonts w:ascii="Times New Roman" w:eastAsia="Times New Roman" w:hAnsi="Times New Roman" w:cs="Times New Roman"/>
          <w:noProof w:val="0"/>
          <w:sz w:val="24"/>
          <w:szCs w:val="24"/>
        </w:rPr>
        <w:t>, 2004</w:t>
      </w:r>
      <w:r w:rsidR="0045725D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which could explain the smaller contribution of genetic factors to the variance of Neuroticism in </w:t>
      </w:r>
      <w:r w:rsidR="00D333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Serbian sample. </w:t>
      </w:r>
      <w:r w:rsidR="00CC193D" w:rsidRPr="007313E2">
        <w:rPr>
          <w:rFonts w:ascii="Times New Roman" w:hAnsi="Times New Roman" w:cs="Times New Roman"/>
          <w:noProof w:val="0"/>
          <w:sz w:val="24"/>
          <w:szCs w:val="24"/>
        </w:rPr>
        <w:t>This implies that in work</w:t>
      </w:r>
      <w:r w:rsidR="007A4FBA" w:rsidRPr="007313E2">
        <w:rPr>
          <w:rFonts w:ascii="Times New Roman" w:hAnsi="Times New Roman" w:cs="Times New Roman"/>
          <w:noProof w:val="0"/>
          <w:sz w:val="24"/>
          <w:szCs w:val="24"/>
        </w:rPr>
        <w:t>ing</w:t>
      </w:r>
      <w:r w:rsidR="00CC19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with individuals, </w:t>
      </w:r>
      <w:r w:rsidR="00010B77" w:rsidRPr="007313E2">
        <w:rPr>
          <w:rFonts w:ascii="Times New Roman" w:hAnsi="Times New Roman" w:cs="Times New Roman"/>
          <w:noProof w:val="0"/>
          <w:sz w:val="24"/>
          <w:szCs w:val="24"/>
        </w:rPr>
        <w:t>an</w:t>
      </w:r>
      <w:r w:rsidR="00CC19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emphasis can be placed on mitigating the effects of negative emotionality on outcomes in the form of adaptation to the family environment.</w:t>
      </w:r>
    </w:p>
    <w:p w:rsidR="00787929" w:rsidRPr="007313E2" w:rsidRDefault="00054A8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for the dimensions of the family environment, 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>the contribution of genetic factors is relatively high in both samples</w:t>
      </w:r>
      <w:r w:rsidR="009B20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although perceived Support is somewhat more environmentally determined in </w:t>
      </w:r>
      <w:r w:rsidR="00C611D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9B20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Serbian than in </w:t>
      </w:r>
      <w:r w:rsidR="00C611D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9B2084" w:rsidRPr="007313E2">
        <w:rPr>
          <w:rFonts w:ascii="Times New Roman" w:hAnsi="Times New Roman" w:cs="Times New Roman"/>
          <w:noProof w:val="0"/>
          <w:sz w:val="24"/>
          <w:szCs w:val="24"/>
        </w:rPr>
        <w:t>German sample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>. T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he relative contributions of genetic and environmental factors to perceived </w:t>
      </w:r>
      <w:r w:rsidR="0045725D" w:rsidRPr="007313E2">
        <w:rPr>
          <w:rFonts w:ascii="Times New Roman" w:hAnsi="Times New Roman" w:cs="Times New Roman"/>
          <w:noProof w:val="0"/>
          <w:sz w:val="24"/>
          <w:szCs w:val="24"/>
        </w:rPr>
        <w:t>O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rganization are very similar across </w:t>
      </w:r>
      <w:r w:rsidR="000D607F" w:rsidRPr="007313E2">
        <w:rPr>
          <w:rFonts w:ascii="Times New Roman" w:hAnsi="Times New Roman" w:cs="Times New Roman"/>
          <w:noProof w:val="0"/>
          <w:sz w:val="24"/>
          <w:szCs w:val="24"/>
        </w:rPr>
        <w:t>both</w:t>
      </w:r>
      <w:r w:rsidR="009B208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samples. The finding that genetic factors are important in explaining </w:t>
      </w:r>
      <w:r w:rsidR="00420CF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perception</w:t>
      </w:r>
      <w:r w:rsidR="001332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consistent with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previous results (</w:t>
      </w:r>
      <w:r w:rsidR="0063024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e.g., 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Kandler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="00A97DDD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200</w:t>
      </w:r>
      <w:r w:rsidR="00F02275">
        <w:rPr>
          <w:rFonts w:ascii="Times New Roman" w:hAnsi="Times New Roman" w:cs="Times New Roman"/>
          <w:noProof w:val="0"/>
          <w:sz w:val="24"/>
          <w:szCs w:val="24"/>
        </w:rPr>
        <w:t>8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>). This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548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supports the view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that</w:t>
      </w:r>
      <w:r w:rsidR="009A719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environment</w:t>
      </w:r>
      <w:r w:rsidR="00C00F58" w:rsidRPr="007313E2">
        <w:rPr>
          <w:rFonts w:ascii="Times New Roman" w:hAnsi="Times New Roman" w:cs="Times New Roman"/>
          <w:noProof w:val="0"/>
          <w:sz w:val="24"/>
          <w:szCs w:val="24"/>
        </w:rPr>
        <w:t>al measu</w:t>
      </w:r>
      <w:r w:rsidR="001A1B19" w:rsidRPr="007313E2">
        <w:rPr>
          <w:rFonts w:ascii="Times New Roman" w:hAnsi="Times New Roman" w:cs="Times New Roman"/>
          <w:noProof w:val="0"/>
          <w:sz w:val="24"/>
          <w:szCs w:val="24"/>
        </w:rPr>
        <w:t>re</w:t>
      </w:r>
      <w:r w:rsidR="00C00F58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9A719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psychological research should not be considered entirely environmental</w:t>
      </w:r>
      <w:r w:rsidR="001548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>Plomin et al., 2008</w:t>
      </w:r>
      <w:r w:rsidR="00154848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especially when measures of </w:t>
      </w:r>
      <w:r w:rsidR="00351E7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0E710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perceived (rather than observed) environment are </w:t>
      </w:r>
      <w:r w:rsidR="00351E7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applied </w:t>
      </w:r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(Finkel &amp; </w:t>
      </w:r>
      <w:proofErr w:type="spellStart"/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>McGue</w:t>
      </w:r>
      <w:proofErr w:type="spellEnd"/>
      <w:r w:rsidR="004B2DB4" w:rsidRPr="007313E2">
        <w:rPr>
          <w:rFonts w:ascii="Times New Roman" w:hAnsi="Times New Roman" w:cs="Times New Roman"/>
          <w:noProof w:val="0"/>
          <w:sz w:val="24"/>
          <w:szCs w:val="24"/>
        </w:rPr>
        <w:t>, 1993).</w:t>
      </w:r>
    </w:p>
    <w:p w:rsidR="00787929" w:rsidRPr="007313E2" w:rsidRDefault="00F31B1B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next question 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whether per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ceived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support and family organization are </w:t>
      </w:r>
      <w:r w:rsidR="003F620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related to personality traits and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what </w:t>
      </w:r>
      <w:r w:rsidR="003F620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mechanisms are responsible for these </w:t>
      </w:r>
      <w:r w:rsidR="009A7196" w:rsidRPr="007313E2">
        <w:rPr>
          <w:rFonts w:ascii="Times New Roman" w:hAnsi="Times New Roman" w:cs="Times New Roman"/>
          <w:noProof w:val="0"/>
          <w:sz w:val="24"/>
          <w:szCs w:val="24"/>
        </w:rPr>
        <w:t>presumed</w:t>
      </w:r>
      <w:r w:rsidR="008A70A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>relationships.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20A1C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he results show that genetic and environmental overlap</w:t>
      </w:r>
      <w:r w:rsidR="00937CA6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dimensions of 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perceived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environment with personality traits can be 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best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explained by additive genetic and non-shared environmental factors. In this respect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363D5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the two samples do not differ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and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even the patterns of phenotypic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as well as genetic and environmental correlations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are very similar. </w:t>
      </w:r>
      <w:r w:rsidR="00B55F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findings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confirm </w:t>
      </w:r>
      <w:r w:rsidR="00B55F28" w:rsidRPr="007313E2">
        <w:rPr>
          <w:rFonts w:ascii="Times New Roman" w:hAnsi="Times New Roman" w:cs="Times New Roman"/>
          <w:noProof w:val="0"/>
          <w:sz w:val="24"/>
          <w:szCs w:val="24"/>
        </w:rPr>
        <w:t>the robustness of the</w:t>
      </w:r>
      <w:r w:rsidR="00745F5A" w:rsidRPr="007313E2">
        <w:rPr>
          <w:rFonts w:ascii="Times New Roman" w:hAnsi="Times New Roman" w:cs="Times New Roman"/>
          <w:noProof w:val="0"/>
          <w:sz w:val="24"/>
          <w:szCs w:val="24"/>
        </w:rPr>
        <w:t>se</w:t>
      </w:r>
      <w:r w:rsidR="00B55F2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relations.</w:t>
      </w:r>
      <w:r w:rsidR="00937CA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787929" w:rsidRPr="007313E2" w:rsidRDefault="00054A8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Phenotypic correlations are virtually identical in both samples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which is consistent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with </w:t>
      </w:r>
      <w:r w:rsidR="0003328B" w:rsidRPr="007313E2">
        <w:rPr>
          <w:rFonts w:ascii="Times New Roman" w:hAnsi="Times New Roman" w:cs="Times New Roman"/>
          <w:noProof w:val="0"/>
          <w:sz w:val="24"/>
          <w:szCs w:val="24"/>
        </w:rPr>
        <w:t>the usual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findings of a positive association of Extraversion, Agreeableness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Conscientiousness and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negative 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association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Neuroticism with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supportive family environment at </w:t>
      </w:r>
      <w:r w:rsidR="00DA5854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early age (Meunier</w:t>
      </w:r>
      <w:r w:rsidR="00D7099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2010). It is reasonable to assume that </w:t>
      </w:r>
      <w:r w:rsidR="003F620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the family </w:t>
      </w:r>
      <w:r w:rsidR="003F620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origin </w:t>
      </w:r>
      <w:r w:rsidR="003901E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adulthood 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</w:t>
      </w:r>
      <w:r w:rsidR="003F6200" w:rsidRPr="007313E2">
        <w:rPr>
          <w:rFonts w:ascii="Times New Roman" w:hAnsi="Times New Roman" w:cs="Times New Roman"/>
          <w:noProof w:val="0"/>
          <w:sz w:val="24"/>
          <w:szCs w:val="24"/>
        </w:rPr>
        <w:t>related to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some genetically </w:t>
      </w:r>
      <w:r w:rsidR="00987A69" w:rsidRPr="007313E2">
        <w:rPr>
          <w:rFonts w:ascii="Times New Roman" w:hAnsi="Times New Roman" w:cs="Times New Roman"/>
          <w:noProof w:val="0"/>
          <w:sz w:val="24"/>
          <w:szCs w:val="24"/>
        </w:rPr>
        <w:t>based</w:t>
      </w:r>
      <w:r w:rsidR="00A16D1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dispositions such as personality traits, which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have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already been suggested by</w:t>
      </w:r>
      <w:r w:rsidR="001332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earlier findings (</w:t>
      </w:r>
      <w:proofErr w:type="spellStart"/>
      <w:r w:rsidR="002809DD">
        <w:rPr>
          <w:rFonts w:ascii="Times New Roman" w:hAnsi="Times New Roman" w:cs="Times New Roman"/>
          <w:noProof w:val="0"/>
          <w:sz w:val="24"/>
          <w:szCs w:val="24"/>
        </w:rPr>
        <w:t>Kandler</w:t>
      </w:r>
      <w:proofErr w:type="spellEnd"/>
      <w:r w:rsidR="002809DD">
        <w:rPr>
          <w:rFonts w:ascii="Times New Roman" w:hAnsi="Times New Roman" w:cs="Times New Roman"/>
          <w:noProof w:val="0"/>
          <w:sz w:val="24"/>
          <w:szCs w:val="24"/>
        </w:rPr>
        <w:t xml:space="preserve"> et al.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, 200</w:t>
      </w:r>
      <w:r w:rsidR="00F02275">
        <w:rPr>
          <w:rFonts w:ascii="Times New Roman" w:hAnsi="Times New Roman" w:cs="Times New Roman"/>
          <w:noProof w:val="0"/>
          <w:sz w:val="24"/>
          <w:szCs w:val="24"/>
        </w:rPr>
        <w:t>8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). </w:t>
      </w:r>
      <w:r w:rsidR="008A2E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positive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>relationship</w:t>
      </w:r>
      <w:r w:rsidR="008A2E5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Extraversion, Openness and Conscientiousness with </w:t>
      </w:r>
      <w:r w:rsidR="00987EDD" w:rsidRPr="007313E2">
        <w:rPr>
          <w:rFonts w:ascii="Times New Roman" w:hAnsi="Times New Roman" w:cs="Times New Roman"/>
          <w:noProof w:val="0"/>
          <w:sz w:val="24"/>
          <w:szCs w:val="24"/>
        </w:rPr>
        <w:t>perceived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87EDD" w:rsidRPr="007313E2">
        <w:rPr>
          <w:rFonts w:ascii="Times New Roman" w:hAnsi="Times New Roman" w:cs="Times New Roman"/>
          <w:noProof w:val="0"/>
          <w:sz w:val="24"/>
          <w:szCs w:val="24"/>
        </w:rPr>
        <w:t>O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rganization, is also largely consistent with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previous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results (</w:t>
      </w:r>
      <w:r w:rsidR="008A2E5D" w:rsidRPr="007313E2">
        <w:rPr>
          <w:rFonts w:ascii="Times New Roman" w:hAnsi="Times New Roman" w:cs="Times New Roman"/>
          <w:noProof w:val="0"/>
          <w:sz w:val="24"/>
          <w:szCs w:val="24"/>
        </w:rPr>
        <w:t>Me</w:t>
      </w:r>
      <w:r w:rsidR="00687225" w:rsidRPr="007313E2">
        <w:rPr>
          <w:rFonts w:ascii="Times New Roman" w:hAnsi="Times New Roman" w:cs="Times New Roman"/>
          <w:noProof w:val="0"/>
          <w:sz w:val="24"/>
          <w:szCs w:val="24"/>
        </w:rPr>
        <w:t>unier et al., 2010).</w:t>
      </w:r>
    </w:p>
    <w:p w:rsidR="00787929" w:rsidRPr="007313E2" w:rsidRDefault="00054A8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German sample, genetic correlations </w:t>
      </w:r>
      <w:r w:rsidR="0095072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between personality traits and Support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correspond to phenotypic ones, while environmental </w:t>
      </w:r>
      <w:r w:rsidR="00950725" w:rsidRPr="007313E2">
        <w:rPr>
          <w:rFonts w:ascii="Times New Roman" w:hAnsi="Times New Roman" w:cs="Times New Roman"/>
          <w:noProof w:val="0"/>
          <w:sz w:val="24"/>
          <w:szCs w:val="24"/>
        </w:rPr>
        <w:t>correlations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significantly </w:t>
      </w:r>
      <w:r w:rsidR="001058E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lower,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especially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in the case of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Agreeableness and Conscientiousness</w:t>
      </w:r>
      <w:r w:rsidR="008A70A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C00F58" w:rsidRPr="007313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he results </w:t>
      </w:r>
      <w:r w:rsidR="0068722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obtained in the German sample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suggest that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th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e phenotypic correlation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of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Agreeableness and Conscientiousness </w:t>
      </w:r>
      <w:r w:rsidR="0064504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with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perceived 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upport </w:t>
      </w:r>
      <w:r w:rsidR="001548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 </w:t>
      </w:r>
      <w:r w:rsidR="00195E1A" w:rsidRPr="007313E2">
        <w:rPr>
          <w:rFonts w:ascii="Times New Roman" w:hAnsi="Times New Roman" w:cs="Times New Roman"/>
          <w:noProof w:val="0"/>
          <w:sz w:val="24"/>
          <w:szCs w:val="24"/>
        </w:rPr>
        <w:t>practically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completely mediated by </w:t>
      </w:r>
      <w:r w:rsidR="00301F12" w:rsidRPr="007313E2">
        <w:rPr>
          <w:rFonts w:ascii="Times New Roman" w:hAnsi="Times New Roman" w:cs="Times New Roman"/>
          <w:noProof w:val="0"/>
          <w:sz w:val="24"/>
          <w:szCs w:val="24"/>
        </w:rPr>
        <w:t>genes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848BB" w:rsidRPr="007313E2">
        <w:rPr>
          <w:rFonts w:ascii="Times New Roman" w:hAnsi="Times New Roman" w:cs="Times New Roman"/>
          <w:noProof w:val="0"/>
          <w:sz w:val="24"/>
          <w:szCs w:val="24"/>
        </w:rPr>
        <w:t>and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the case of other traits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 is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 mainly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consequence of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>common genetic factors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However,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in the Serbian sample</w:t>
      </w:r>
      <w:r w:rsidR="0016091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gene</w:t>
      </w:r>
      <w:r w:rsidR="00A16D11" w:rsidRPr="007313E2">
        <w:rPr>
          <w:rFonts w:ascii="Times New Roman" w:hAnsi="Times New Roman" w:cs="Times New Roman"/>
          <w:noProof w:val="0"/>
          <w:sz w:val="24"/>
          <w:szCs w:val="24"/>
        </w:rPr>
        <w:t>tic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correlations of </w:t>
      </w:r>
      <w:r w:rsidR="0064504B" w:rsidRPr="007313E2">
        <w:rPr>
          <w:rFonts w:ascii="Times New Roman" w:hAnsi="Times New Roman" w:cs="Times New Roman"/>
          <w:noProof w:val="0"/>
          <w:sz w:val="24"/>
          <w:szCs w:val="24"/>
        </w:rPr>
        <w:t>these two personality traits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>as well as others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with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perceived </w:t>
      </w:r>
      <w:r w:rsidR="00A16D11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upport are similar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size to the </w:t>
      </w:r>
      <w:r w:rsidR="00687225" w:rsidRPr="007313E2">
        <w:rPr>
          <w:rFonts w:ascii="Times New Roman" w:hAnsi="Times New Roman" w:cs="Times New Roman"/>
          <w:noProof w:val="0"/>
          <w:sz w:val="24"/>
          <w:szCs w:val="24"/>
        </w:rPr>
        <w:t>environmental correlations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which suggests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that both gene</w:t>
      </w:r>
      <w:r w:rsidR="00160911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environmental factors are responsible for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phenotypic </w:t>
      </w:r>
      <w:r w:rsidR="009A7196" w:rsidRPr="007313E2">
        <w:rPr>
          <w:rFonts w:ascii="Times New Roman" w:hAnsi="Times New Roman" w:cs="Times New Roman"/>
          <w:noProof w:val="0"/>
          <w:sz w:val="24"/>
          <w:szCs w:val="24"/>
        </w:rPr>
        <w:t>links</w:t>
      </w:r>
      <w:r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B1285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These findings suggest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slightly greater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the relationship between personality and perceived family support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>Serbian sample</w:t>
      </w:r>
      <w:r w:rsidR="0016091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11E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compared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German sample. </w:t>
      </w:r>
      <w:r w:rsidR="002544CA" w:rsidRPr="007313E2">
        <w:rPr>
          <w:rFonts w:ascii="Times New Roman" w:hAnsi="Times New Roman" w:cs="Times New Roman"/>
          <w:noProof w:val="0"/>
          <w:sz w:val="24"/>
          <w:szCs w:val="24"/>
        </w:rPr>
        <w:t>Along w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ith the finding </w:t>
      </w:r>
      <w:r w:rsidR="0016091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that </w:t>
      </w:r>
      <w:r w:rsidR="002544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indicates </w:t>
      </w:r>
      <w:r w:rsidR="00F933E6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somewhat greater contribution of </w:t>
      </w:r>
      <w:r w:rsidR="0016091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non-shared environment to the variance of </w:t>
      </w:r>
      <w:r w:rsidR="00CA27A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perceived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support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2C668F" w:rsidRPr="007313E2">
        <w:rPr>
          <w:rFonts w:ascii="Times New Roman" w:hAnsi="Times New Roman" w:cs="Times New Roman"/>
          <w:noProof w:val="0"/>
          <w:sz w:val="24"/>
          <w:szCs w:val="24"/>
        </w:rPr>
        <w:t>Serbian sample, some poss</w:t>
      </w:r>
      <w:r w:rsidR="001B204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ible explanations </w:t>
      </w:r>
      <w:r w:rsidR="002544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="001B204A" w:rsidRPr="007313E2">
        <w:rPr>
          <w:rFonts w:ascii="Times New Roman" w:hAnsi="Times New Roman" w:cs="Times New Roman"/>
          <w:noProof w:val="0"/>
          <w:sz w:val="24"/>
          <w:szCs w:val="24"/>
        </w:rPr>
        <w:t>include</w:t>
      </w:r>
      <w:r w:rsidR="0002634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B204A" w:rsidRPr="007313E2">
        <w:rPr>
          <w:rFonts w:ascii="Times New Roman" w:hAnsi="Times New Roman" w:cs="Times New Roman"/>
          <w:noProof w:val="0"/>
          <w:sz w:val="24"/>
          <w:szCs w:val="24"/>
        </w:rPr>
        <w:t>certain cultural mec</w:t>
      </w:r>
      <w:r w:rsidR="001D0F3B" w:rsidRPr="007313E2">
        <w:rPr>
          <w:rFonts w:ascii="Times New Roman" w:hAnsi="Times New Roman" w:cs="Times New Roman"/>
          <w:noProof w:val="0"/>
          <w:sz w:val="24"/>
          <w:szCs w:val="24"/>
        </w:rPr>
        <w:t>hanisms</w:t>
      </w:r>
      <w:r w:rsidR="008F47B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addition to </w:t>
      </w:r>
      <w:r w:rsidR="00C11727" w:rsidRPr="007313E2">
        <w:rPr>
          <w:rFonts w:ascii="Times New Roman" w:hAnsi="Times New Roman" w:cs="Times New Roman"/>
          <w:noProof w:val="0"/>
          <w:sz w:val="24"/>
          <w:szCs w:val="24"/>
        </w:rPr>
        <w:t>potential methodological reasons</w:t>
      </w:r>
      <w:r w:rsidR="00533EA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E75EB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It is assumed that a 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>more interdependent family life and upbringing style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>, as well as prolonged economic dependence on parents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which is </w:t>
      </w:r>
      <w:r w:rsidR="00E75EB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quite 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>common in Serbia,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75EB0" w:rsidRPr="007313E2">
        <w:rPr>
          <w:rFonts w:ascii="Times New Roman" w:hAnsi="Times New Roman" w:cs="Times New Roman"/>
          <w:noProof w:val="0"/>
          <w:sz w:val="24"/>
          <w:szCs w:val="24"/>
        </w:rPr>
        <w:t>can cause a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>somewhat greater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focus on the relationship between parents and children, especially </w:t>
      </w:r>
      <w:r w:rsidR="00E75EB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 </w:t>
      </w:r>
      <w:r w:rsidR="00CA27A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support </w:t>
      </w:r>
      <w:r w:rsidR="00E75EB0" w:rsidRPr="007313E2">
        <w:rPr>
          <w:rFonts w:ascii="Times New Roman" w:hAnsi="Times New Roman" w:cs="Times New Roman"/>
          <w:noProof w:val="0"/>
          <w:sz w:val="24"/>
          <w:szCs w:val="24"/>
        </w:rPr>
        <w:t>that the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>child receives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F933E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Because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non-shared environmental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contribute to dissimilarities</w:t>
      </w:r>
      <w:r w:rsidR="00D90A8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rather than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>similarities between siblings, it may be t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hat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this 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>focus</w:t>
      </w:r>
      <w:r w:rsidR="00026340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70BA0" w:rsidRPr="007313E2">
        <w:rPr>
          <w:rFonts w:ascii="Times New Roman" w:hAnsi="Times New Roman" w:cs="Times New Roman"/>
          <w:noProof w:val="0"/>
          <w:sz w:val="24"/>
          <w:szCs w:val="24"/>
        </w:rPr>
        <w:t>leads to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slightly more pronounced dissimilarities between siblings</w:t>
      </w:r>
      <w:r w:rsidR="00F0263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(including MZ twins)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933E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this </w:t>
      </w:r>
      <w:r w:rsidR="0052061D" w:rsidRPr="007313E2">
        <w:rPr>
          <w:rFonts w:ascii="Times New Roman" w:hAnsi="Times New Roman" w:cs="Times New Roman"/>
          <w:noProof w:val="0"/>
          <w:sz w:val="24"/>
          <w:szCs w:val="24"/>
        </w:rPr>
        <w:t>regard</w:t>
      </w:r>
      <w:r w:rsidR="00F933E6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C4F4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possibly implying </w:t>
      </w:r>
      <w:r w:rsidR="005B776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5C4F4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more nuanced perception of parental treatment and support. </w:t>
      </w:r>
      <w:r w:rsidR="00B7584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C4F4E" w:rsidRPr="007313E2">
        <w:rPr>
          <w:rFonts w:ascii="Times New Roman" w:hAnsi="Times New Roman" w:cs="Times New Roman"/>
          <w:noProof w:val="0"/>
          <w:sz w:val="24"/>
          <w:szCs w:val="24"/>
        </w:rPr>
        <w:t>Therefore</w:t>
      </w:r>
      <w:r w:rsidR="00F015D7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533EA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it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>seems possible</w:t>
      </w:r>
      <w:r w:rsidR="00533EA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that </w:t>
      </w:r>
      <w:r w:rsidR="00F933E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F0263B" w:rsidRPr="007313E2">
        <w:rPr>
          <w:rFonts w:ascii="Times New Roman" w:hAnsi="Times New Roman" w:cs="Times New Roman"/>
          <w:noProof w:val="0"/>
          <w:sz w:val="24"/>
          <w:szCs w:val="24"/>
        </w:rPr>
        <w:t>variance of perceived</w:t>
      </w:r>
      <w:r w:rsidR="0037516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parental support </w:t>
      </w:r>
      <w:r w:rsidR="00F015D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</w:t>
      </w:r>
      <w:r w:rsidR="00530963" w:rsidRPr="007313E2">
        <w:rPr>
          <w:rFonts w:ascii="Times New Roman" w:hAnsi="Times New Roman" w:cs="Times New Roman"/>
          <w:noProof w:val="0"/>
          <w:sz w:val="24"/>
          <w:szCs w:val="24"/>
        </w:rPr>
        <w:t>the less individualistic</w:t>
      </w:r>
      <w:r w:rsidR="001F2DA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015D7" w:rsidRPr="007313E2">
        <w:rPr>
          <w:rFonts w:ascii="Times New Roman" w:hAnsi="Times New Roman" w:cs="Times New Roman"/>
          <w:noProof w:val="0"/>
          <w:sz w:val="24"/>
          <w:szCs w:val="24"/>
        </w:rPr>
        <w:t>culture</w:t>
      </w:r>
      <w:r w:rsidR="00620A1C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F015D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F015D7" w:rsidRPr="007313E2">
        <w:rPr>
          <w:rFonts w:ascii="Times New Roman" w:hAnsi="Times New Roman"/>
          <w:noProof w:val="0"/>
          <w:sz w:val="24"/>
          <w:szCs w:val="24"/>
        </w:rPr>
        <w:t>Podrug</w:t>
      </w:r>
      <w:proofErr w:type="spellEnd"/>
      <w:r w:rsidR="00F015D7" w:rsidRPr="007313E2">
        <w:rPr>
          <w:rFonts w:ascii="Times New Roman" w:hAnsi="Times New Roman"/>
          <w:noProof w:val="0"/>
          <w:sz w:val="24"/>
          <w:szCs w:val="24"/>
        </w:rPr>
        <w:t xml:space="preserve"> et al., 2014)</w:t>
      </w:r>
      <w:r w:rsidR="00F015D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0263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could be </w:t>
      </w:r>
      <w:r w:rsidR="0053096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somewhat less </w:t>
      </w:r>
      <w:r w:rsidR="00F0263B" w:rsidRPr="007313E2">
        <w:rPr>
          <w:rFonts w:ascii="Times New Roman" w:hAnsi="Times New Roman" w:cs="Times New Roman"/>
          <w:noProof w:val="0"/>
          <w:sz w:val="24"/>
          <w:szCs w:val="24"/>
        </w:rPr>
        <w:t>attributed</w:t>
      </w:r>
      <w:r w:rsidR="007E197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individual differences in personality</w:t>
      </w:r>
      <w:r w:rsidR="005B776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comparison </w:t>
      </w:r>
      <w:r w:rsidR="007E197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</w:t>
      </w:r>
      <w:r w:rsidR="0053096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7E197A" w:rsidRPr="007313E2">
        <w:rPr>
          <w:rFonts w:ascii="Times New Roman" w:hAnsi="Times New Roman" w:cs="Times New Roman"/>
          <w:noProof w:val="0"/>
          <w:sz w:val="24"/>
          <w:szCs w:val="24"/>
        </w:rPr>
        <w:t>more individualistic culture</w:t>
      </w:r>
      <w:r w:rsidR="00620A1C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7E197A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787929" w:rsidRPr="007313E2" w:rsidRDefault="00645032" w:rsidP="002809DD">
      <w:pPr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atterns of genetic correlations 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>between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personality traits and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perceived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>O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rganization follow </w:t>
      </w:r>
      <w:r w:rsidR="00F51FC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patterns of phenotypic correlations</w:t>
      </w:r>
      <w:r w:rsidR="007D52E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both samples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7789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and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same </w:t>
      </w:r>
      <w:r w:rsidR="003F3DCF" w:rsidRPr="007313E2">
        <w:rPr>
          <w:rFonts w:ascii="Times New Roman" w:hAnsi="Times New Roman" w:cs="Times New Roman"/>
          <w:noProof w:val="0"/>
          <w:sz w:val="24"/>
          <w:szCs w:val="24"/>
        </w:rPr>
        <w:t>applies to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environmental correlations. The exception is Conscientiousness in the Serbian sample, which 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>achieves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7789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significant genetic, but not environmental correlation with the 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>O</w:t>
      </w:r>
      <w:r w:rsidR="00054A82" w:rsidRPr="007313E2">
        <w:rPr>
          <w:rFonts w:ascii="Times New Roman" w:hAnsi="Times New Roman" w:cs="Times New Roman"/>
          <w:noProof w:val="0"/>
          <w:sz w:val="24"/>
          <w:szCs w:val="24"/>
        </w:rPr>
        <w:t>rganization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The phenotypic correlation between Conscientiousness and Organization seems to be mediated by genetic factors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716F2F" w:rsidRPr="007313E2">
        <w:rPr>
          <w:rFonts w:ascii="Times New Roman" w:hAnsi="Times New Roman" w:cs="Times New Roman"/>
          <w:noProof w:val="0"/>
          <w:sz w:val="24"/>
          <w:szCs w:val="24"/>
        </w:rPr>
        <w:t>Serbian sample</w:t>
      </w:r>
      <w:r w:rsidR="001058E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856BC9" w:rsidRPr="007313E2">
        <w:rPr>
          <w:rFonts w:ascii="Times New Roman" w:hAnsi="Times New Roman" w:cs="Times New Roman"/>
          <w:noProof w:val="0"/>
          <w:sz w:val="24"/>
          <w:szCs w:val="24"/>
        </w:rPr>
        <w:t>with more conscientious people tending to perceive their families as more organized</w:t>
      </w:r>
      <w:r w:rsidR="00296AD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However, </w:t>
      </w:r>
      <w:r w:rsidR="00856BC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non-shared environmental factors mediate this </w:t>
      </w:r>
      <w:r w:rsidR="00856BC9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>relation</w:t>
      </w:r>
      <w:r w:rsidR="00ED10EA" w:rsidRPr="007313E2">
        <w:rPr>
          <w:rFonts w:ascii="Times New Roman" w:hAnsi="Times New Roman" w:cs="Times New Roman"/>
          <w:noProof w:val="0"/>
          <w:sz w:val="24"/>
          <w:szCs w:val="24"/>
        </w:rPr>
        <w:t>ship</w:t>
      </w:r>
      <w:r w:rsidR="00856BC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to </w:t>
      </w:r>
      <w:r w:rsidR="00ED10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856BC9" w:rsidRPr="007313E2">
        <w:rPr>
          <w:rFonts w:ascii="Times New Roman" w:hAnsi="Times New Roman" w:cs="Times New Roman"/>
          <w:noProof w:val="0"/>
          <w:sz w:val="24"/>
          <w:szCs w:val="24"/>
        </w:rPr>
        <w:t>similar extent</w:t>
      </w:r>
      <w:r w:rsidR="00AF0F4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the German sample</w:t>
      </w:r>
      <w:r w:rsidR="001058E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C00F58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1058EC" w:rsidRPr="007313E2">
        <w:rPr>
          <w:rFonts w:ascii="Times New Roman" w:hAnsi="Times New Roman" w:cs="Times New Roman"/>
          <w:noProof w:val="0"/>
          <w:sz w:val="24"/>
          <w:szCs w:val="24"/>
        </w:rPr>
        <w:t>part from Conscientiousness in the Serbian sample, it seems that the relationship between personality and perceived restrictiveness</w:t>
      </w:r>
      <w:r w:rsidR="00AF0F41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906FD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7305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 the one hand and educational stimulation in the family of origin on the other, </w:t>
      </w:r>
      <w:r w:rsidR="001058EC" w:rsidRPr="007313E2">
        <w:rPr>
          <w:rFonts w:ascii="Times New Roman" w:hAnsi="Times New Roman" w:cs="Times New Roman"/>
          <w:noProof w:val="0"/>
          <w:sz w:val="24"/>
          <w:szCs w:val="24"/>
        </w:rPr>
        <w:t>is mediated by both genetic and environmental factors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Some of the non-shared environmental factors</w:t>
      </w:r>
      <w:r w:rsidR="005571C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D10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include different parental treatments or various factors outside </w:t>
      </w:r>
      <w:r w:rsidR="003F6E1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6E23C3" w:rsidRPr="007313E2">
        <w:rPr>
          <w:rFonts w:ascii="Times New Roman" w:hAnsi="Times New Roman" w:cs="Times New Roman"/>
          <w:noProof w:val="0"/>
          <w:sz w:val="24"/>
          <w:szCs w:val="24"/>
        </w:rPr>
        <w:t>family.</w:t>
      </w:r>
    </w:p>
    <w:p w:rsidR="00D52B1E" w:rsidRPr="007313E2" w:rsidRDefault="00B55F28" w:rsidP="002809DD">
      <w:pPr>
        <w:spacing w:line="48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 general, these findings point to several conclusions.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>First</w:t>
      </w:r>
      <w:r w:rsidR="008D2FCC" w:rsidRPr="007313E2">
        <w:rPr>
          <w:rFonts w:ascii="Times New Roman" w:hAnsi="Times New Roman" w:cs="Times New Roman"/>
          <w:noProof w:val="0"/>
          <w:sz w:val="24"/>
          <w:szCs w:val="24"/>
        </w:rPr>
        <w:t>ly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the striking similarities between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results obtained in </w:t>
      </w:r>
      <w:r w:rsidR="00ED10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>German and Serbian twin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samples suggest that </w:t>
      </w:r>
      <w:r w:rsidR="00ED10EA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>gene</w:t>
      </w:r>
      <w:r w:rsidR="00C56303" w:rsidRPr="007313E2">
        <w:rPr>
          <w:rFonts w:ascii="Times New Roman" w:hAnsi="Times New Roman" w:cs="Times New Roman"/>
          <w:noProof w:val="0"/>
          <w:sz w:val="24"/>
          <w:szCs w:val="24"/>
        </w:rPr>
        <w:t>tic and environmental bas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>e</w:t>
      </w:r>
      <w:r w:rsidR="00C5630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 of personality traits and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8D2FC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are robust</w:t>
      </w:r>
      <w:r w:rsidR="00C5630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as </w:t>
      </w:r>
      <w:r w:rsidR="00C5630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are the </w:t>
      </w:r>
      <w:r w:rsidR="00370ACE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links between </w:t>
      </w:r>
      <w:r w:rsidR="00C5630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them.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Second</w:t>
      </w:r>
      <w:r w:rsidR="008D2FCC" w:rsidRPr="007313E2">
        <w:rPr>
          <w:rFonts w:ascii="Times New Roman" w:hAnsi="Times New Roman" w:cs="Times New Roman"/>
          <w:noProof w:val="0"/>
          <w:sz w:val="24"/>
          <w:szCs w:val="24"/>
        </w:rPr>
        <w:t>ly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7313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results 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indicate a relationship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between some personality traits</w:t>
      </w:r>
      <w:r w:rsidR="007313B8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specifically Agreeableness and Conscientiousness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German sample</w:t>
      </w:r>
      <w:r w:rsidR="007313B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and perceive</w:t>
      </w:r>
      <w:r w:rsidR="007937BD" w:rsidRPr="007313E2">
        <w:rPr>
          <w:rFonts w:ascii="Times New Roman" w:hAnsi="Times New Roman" w:cs="Times New Roman"/>
          <w:noProof w:val="0"/>
          <w:sz w:val="24"/>
          <w:szCs w:val="24"/>
        </w:rPr>
        <w:t>d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family support 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is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almost entirely</w:t>
      </w:r>
      <w:r w:rsidR="00C053B6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attributable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</w:t>
      </w:r>
      <w:r w:rsidR="00AA1597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shared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genetic factors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>. The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same c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>an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 applied to the </w:t>
      </w:r>
      <w:r w:rsidR="008113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relationship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between Conscientiousness and perceived family organization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>Serbian sample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. This could be explained both</w:t>
      </w:r>
      <w:r w:rsidR="008113A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by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503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>effect</w:t>
      </w:r>
      <w:r w:rsidR="002F503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848B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of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stable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personality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dispositions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on </w:t>
      </w:r>
      <w:r w:rsidR="002F503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r w:rsidR="002F503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by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some types of gen</w:t>
      </w:r>
      <w:r w:rsidR="00B0222D" w:rsidRPr="007313E2">
        <w:rPr>
          <w:rFonts w:ascii="Times New Roman" w:hAnsi="Times New Roman" w:cs="Times New Roman"/>
          <w:noProof w:val="0"/>
          <w:sz w:val="24"/>
          <w:szCs w:val="24"/>
        </w:rPr>
        <w:t>etic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-environment</w:t>
      </w:r>
      <w:r w:rsidR="002F5031" w:rsidRPr="007313E2">
        <w:rPr>
          <w:rFonts w:ascii="Times New Roman" w:hAnsi="Times New Roman" w:cs="Times New Roman"/>
          <w:noProof w:val="0"/>
          <w:sz w:val="24"/>
          <w:szCs w:val="24"/>
        </w:rPr>
        <w:t>al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correlation, especially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passive and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evo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>c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ative. Namely, some genetically based dispositions of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child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may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tend to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make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>certain types of family feedback an</w:t>
      </w:r>
      <w:r w:rsidR="003930C4" w:rsidRPr="007313E2">
        <w:rPr>
          <w:rFonts w:ascii="Times New Roman" w:hAnsi="Times New Roman" w:cs="Times New Roman"/>
          <w:noProof w:val="0"/>
          <w:sz w:val="24"/>
          <w:szCs w:val="24"/>
        </w:rPr>
        <w:t>d overall treatment more likely</w:t>
      </w:r>
      <w:r w:rsidR="00620A1C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this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treatment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could also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 related 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to some genetic dispositions of </w:t>
      </w:r>
      <w:r w:rsidR="001736C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41579" w:rsidRPr="007313E2">
        <w:rPr>
          <w:rFonts w:ascii="Times New Roman" w:hAnsi="Times New Roman" w:cs="Times New Roman"/>
          <w:noProof w:val="0"/>
          <w:sz w:val="24"/>
          <w:szCs w:val="24"/>
        </w:rPr>
        <w:t>child’s</w:t>
      </w:r>
      <w:r w:rsidR="00C6305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parents.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Relationships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between other traits and perception of 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</w:rPr>
        <w:t>parenting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can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be significantly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attributed to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shared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genetic factors, with rather modest environmental correlations in most cases.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Personality lifespan models posit that personality contributes to significant cognitive outcomes through multiple mechanisms, including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perceptual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>and physiological pathways (e.g., Gomez et al., 2013). One plausible causal explanation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for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our results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might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>address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>those processes</w:t>
      </w:r>
      <w:r w:rsidR="000A4F80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which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might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produce genetic and 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environmental correlations between personality and perception of</w:t>
      </w:r>
      <w:r w:rsidR="0075728E" w:rsidRPr="007313E2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 parenting</w:t>
      </w:r>
      <w:r w:rsidR="0066413C" w:rsidRPr="007313E2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.</w:t>
      </w:r>
      <w:r w:rsidR="0066413C" w:rsidRPr="007313E2">
        <w:rPr>
          <w:rFonts w:ascii="Arial" w:hAnsi="Arial" w:cs="Arial"/>
          <w:noProof w:val="0"/>
          <w:shd w:val="clear" w:color="auto" w:fill="FFFFFF"/>
        </w:rPr>
        <w:t xml:space="preserve"> </w:t>
      </w:r>
      <w:r w:rsidR="00615893" w:rsidRPr="007313E2">
        <w:rPr>
          <w:rFonts w:ascii="Times New Roman" w:hAnsi="Times New Roman" w:cs="Times New Roman"/>
          <w:noProof w:val="0"/>
          <w:sz w:val="24"/>
          <w:szCs w:val="24"/>
        </w:rPr>
        <w:t>Finally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small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differences between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>Serbian and German twin samples regarding these links, which generally suggest more environmental contribution</w:t>
      </w:r>
      <w:r w:rsidR="00A321B3" w:rsidRPr="007313E2"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r w:rsidR="00AF7585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Serbian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sample,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can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>be explained by both methodological issues</w:t>
      </w:r>
      <w:r w:rsidR="007B068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(e.g., </w:t>
      </w:r>
      <w:r w:rsidR="00093F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higher </w:t>
      </w:r>
      <w:r w:rsidR="00201FD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representation of women in the sample, </w:t>
      </w:r>
      <w:r w:rsidR="00093F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1B4E1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subjective </w:t>
      </w:r>
      <w:r w:rsidR="00EA2F9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measure of perception of </w:t>
      </w:r>
      <w:r w:rsidR="001B4E1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parenting through </w:t>
      </w:r>
      <w:r w:rsidR="00EA2F9F"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1B4E1B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BEQ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093F3D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we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k statistical power (especially in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Serbian sample</w:t>
      </w:r>
      <w:r w:rsidR="007B068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due to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="007B0688" w:rsidRPr="007313E2">
        <w:rPr>
          <w:rFonts w:ascii="Times New Roman" w:hAnsi="Times New Roman" w:cs="Times New Roman"/>
          <w:noProof w:val="0"/>
          <w:sz w:val="24"/>
          <w:szCs w:val="24"/>
        </w:rPr>
        <w:t>modest sample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A738A3" w:rsidRPr="007313E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8D6F93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r w:rsidR="00EA2F9F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other </w:t>
      </w:r>
      <w:r w:rsidR="00945D6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unexplored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cultural </w:t>
      </w:r>
      <w:r w:rsidR="009525DC" w:rsidRPr="007313E2">
        <w:rPr>
          <w:rFonts w:ascii="Times New Roman" w:hAnsi="Times New Roman" w:cs="Times New Roman"/>
          <w:noProof w:val="0"/>
          <w:sz w:val="24"/>
          <w:szCs w:val="24"/>
        </w:rPr>
        <w:t>effects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Also, it should be noted that this is </w:t>
      </w:r>
      <w:r w:rsidR="00602561" w:rsidRPr="007313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cross-sectional study and that the conclusions about the influences of genetic and environmental factors must be viewed more as effects</w:t>
      </w:r>
      <w:r w:rsidR="001A620F" w:rsidRPr="007313E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A027D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and not as specific influences. 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The plausible </w:t>
      </w:r>
      <w:r w:rsidR="00A321B3" w:rsidRPr="007313E2">
        <w:rPr>
          <w:rFonts w:ascii="Times New Roman" w:hAnsi="Times New Roman" w:cs="Times New Roman"/>
          <w:noProof w:val="0"/>
          <w:sz w:val="24"/>
          <w:szCs w:val="24"/>
        </w:rPr>
        <w:t>conclusion</w:t>
      </w:r>
      <w:r w:rsidR="00E70348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321B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could not be offered </w:t>
      </w:r>
      <w:r w:rsidR="00806E9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at this point </w:t>
      </w:r>
      <w:r w:rsidR="00A321B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due to </w:t>
      </w:r>
      <w:r w:rsidR="006C7B21" w:rsidRPr="007313E2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E14442" w:rsidRPr="007313E2">
        <w:rPr>
          <w:rFonts w:ascii="Times New Roman" w:hAnsi="Times New Roman" w:cs="Times New Roman"/>
          <w:noProof w:val="0"/>
          <w:sz w:val="24"/>
          <w:szCs w:val="24"/>
        </w:rPr>
        <w:t>se</w:t>
      </w:r>
      <w:r w:rsidR="006C7B21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321B3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limitations. </w:t>
      </w:r>
      <w:r w:rsidR="00C650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Since the results of genetic comparisons of cross-cultural behavior may also be obscured by some other factors, such as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language-related issues</w:t>
      </w:r>
      <w:r w:rsidR="00C650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65032" w:rsidRPr="007313E2">
        <w:rPr>
          <w:rFonts w:ascii="Times New Roman" w:hAnsi="Times New Roman"/>
          <w:noProof w:val="0"/>
          <w:sz w:val="24"/>
          <w:szCs w:val="24"/>
        </w:rPr>
        <w:t>(e.g., Jang et al., 2006), m</w:t>
      </w:r>
      <w:r w:rsidR="00C65032" w:rsidRPr="007313E2">
        <w:rPr>
          <w:rFonts w:ascii="Times New Roman" w:hAnsi="Times New Roman" w:cs="Times New Roman"/>
          <w:noProof w:val="0"/>
          <w:sz w:val="24"/>
          <w:szCs w:val="24"/>
        </w:rPr>
        <w:t xml:space="preserve">ore cross-cultural studies should be conducted in order to improve the understanding of the sources of the relationships between personality and perception of parenting. </w:t>
      </w:r>
    </w:p>
    <w:p w:rsidR="001F2DA8" w:rsidRPr="007313E2" w:rsidRDefault="001F2DA8" w:rsidP="002809DD">
      <w:pPr>
        <w:pStyle w:val="FootnoteText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3E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Funding: </w:t>
      </w:r>
      <w:r w:rsidRPr="007313E2">
        <w:rPr>
          <w:rFonts w:ascii="Times New Roman" w:hAnsi="Times New Roman" w:cs="Times New Roman"/>
          <w:sz w:val="24"/>
          <w:szCs w:val="24"/>
        </w:rPr>
        <w:t xml:space="preserve">This research was supported by the Science Fund of the Republic of Serbia (#7744418, Genetic and environmental influences on psychological adaptation of children and adults GENIUS) and the </w:t>
      </w:r>
      <w:r w:rsidRPr="007313E2">
        <w:rPr>
          <w:rFonts w:ascii="Times New Roman" w:hAnsi="Times New Roman" w:cs="Times New Roman"/>
          <w:sz w:val="24"/>
          <w:szCs w:val="24"/>
          <w:shd w:val="clear" w:color="auto" w:fill="FFFFFF"/>
        </w:rPr>
        <w:t>German Research Foundation (DFG) (grant number 220286500).</w:t>
      </w:r>
    </w:p>
    <w:p w:rsidR="001F2DA8" w:rsidRPr="007313E2" w:rsidRDefault="001F2DA8" w:rsidP="002809DD">
      <w:pPr>
        <w:pStyle w:val="FootnoteText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3E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Compliance with Ethical Standards: </w:t>
      </w:r>
      <w:r w:rsidRPr="007313E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This study was performed in accordance with the ethical standards as set forth in the 1964 Declaration of Helsinki and its later amendments.</w:t>
      </w:r>
      <w:r w:rsidRPr="007313E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13E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This research was approved by the ethics committee from both participating institutions (protocol numbers: </w:t>
      </w:r>
      <w:r w:rsidRPr="007313E2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Institutional Ethics Committee of the Faculty of Philosophy (#02-374/15)</w:t>
      </w:r>
      <w:r w:rsidRPr="007313E2"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7313E2">
        <w:rPr>
          <w:rFonts w:ascii="Times New Roman" w:hAnsi="Times New Roman" w:cs="Times New Roman"/>
          <w:sz w:val="24"/>
          <w:szCs w:val="24"/>
          <w:shd w:val="clear" w:color="auto" w:fill="FFFFFF"/>
        </w:rPr>
        <w:t>German Psychological Association: RR 11.2009 and RR 09.2013).</w:t>
      </w:r>
    </w:p>
    <w:p w:rsidR="001F2DA8" w:rsidRPr="007313E2" w:rsidRDefault="001F2DA8" w:rsidP="002809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3E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Conflicts of Interest: </w:t>
      </w:r>
      <w:r w:rsidRPr="007313E2">
        <w:rPr>
          <w:rFonts w:ascii="Times New Roman" w:hAnsi="Times New Roman" w:cs="Times New Roman"/>
          <w:sz w:val="24"/>
          <w:szCs w:val="24"/>
          <w:shd w:val="clear" w:color="auto" w:fill="FFFFFF"/>
        </w:rPr>
        <w:t>The authors declare they have no conflict of interest.</w:t>
      </w:r>
    </w:p>
    <w:p w:rsidR="001F2DA8" w:rsidRPr="007313E2" w:rsidRDefault="001F2DA8" w:rsidP="002809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3E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Informed Consent: </w:t>
      </w:r>
      <w:r w:rsidRPr="007313E2">
        <w:rPr>
          <w:rFonts w:ascii="Times New Roman" w:hAnsi="Times New Roman" w:cs="Times New Roman"/>
          <w:sz w:val="24"/>
          <w:szCs w:val="24"/>
          <w:shd w:val="clear" w:color="auto" w:fill="FFFFFF"/>
        </w:rPr>
        <w:t>Informed consent was obtained from all individual adult participants included in the study.</w:t>
      </w:r>
    </w:p>
    <w:p w:rsidR="002809DD" w:rsidRDefault="002809DD" w:rsidP="001F2D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DD" w:rsidRDefault="002809DD" w:rsidP="001F2D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A8" w:rsidRPr="007313E2" w:rsidRDefault="001F2DA8" w:rsidP="001F2D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Barsky, P. I., Gindina, E. D., Lobaskova, M. M., &amp; Malykh, S. B. (2010). Perception of Family Environment with Russian Adolescent Twins: Possible Genotype-Environment Correlation.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Psychology in Russia: State of Art, 3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412–430. </w:t>
      </w:r>
      <w:hyperlink r:id="rId11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10.11621/pir.2010.0019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Block, J. (1971).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Lives through time</w:t>
      </w:r>
      <w:r w:rsidRPr="000C2417">
        <w:rPr>
          <w:rFonts w:ascii="Times New Roman" w:hAnsi="Times New Roman" w:cs="Times New Roman"/>
          <w:sz w:val="24"/>
          <w:szCs w:val="24"/>
        </w:rPr>
        <w:t>. Bancroft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Bratko, D., Butković, A., &amp; Vukasović Hlupić, T. (2017). Heritability of Personality.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Psihologijske Teme, 26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1–24. </w:t>
      </w:r>
      <w:hyperlink r:id="rId12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10.31820/pt.26.1.1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Britto, P. R., Singh, M., Dua, T., Kaur, R., &amp; Yousafzai, A. K. (2018). What implementation evidence matters: scaling-up nurturing interventions that promote early childhood development.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Annals of the New York Academy of Sciences, 1419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5–16. </w:t>
      </w:r>
      <w:hyperlink r:id="rId13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10.1111/nyas.13720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Caspi, A., Roberts, B. W., &amp; Shiner, R. L. (2005). Personality Development: Stability and Change.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Annual Review of Psychology, 56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453–484. </w:t>
      </w:r>
      <w:hyperlink r:id="rId14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10.1146/annurev.psych.55.090902.141913</w:t>
        </w:r>
      </w:hyperlink>
    </w:p>
    <w:p w:rsidR="00F02275" w:rsidRPr="000C2417" w:rsidRDefault="00F02275" w:rsidP="00F02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Čolović, P. (2019). petarcolovic. </w:t>
      </w:r>
      <w:r w:rsidRPr="000C2417">
        <w:rPr>
          <w:rFonts w:ascii="Times New Roman" w:hAnsi="Times New Roman" w:cs="Times New Roman"/>
          <w:i/>
          <w:sz w:val="24"/>
          <w:szCs w:val="24"/>
        </w:rPr>
        <w:t>Petarcolovic/R_CqBG 1.0.0-Beta</w:t>
      </w:r>
      <w:r w:rsidRPr="000C2417">
        <w:rPr>
          <w:rFonts w:ascii="Times New Roman" w:hAnsi="Times New Roman" w:cs="Times New Roman"/>
          <w:sz w:val="24"/>
          <w:szCs w:val="24"/>
        </w:rPr>
        <w:t xml:space="preserve">. Zenodo, 2019. </w:t>
      </w:r>
      <w:r w:rsidRPr="000C2417">
        <w:rPr>
          <w:rFonts w:ascii="Times New Roman" w:hAnsi="Times New Roman" w:cs="Times New Roman"/>
          <w:i/>
          <w:sz w:val="24"/>
          <w:szCs w:val="24"/>
        </w:rPr>
        <w:t>Zenodo</w:t>
      </w:r>
      <w:r w:rsidRPr="000C24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http://doi.org/10.5281/zenodo.3514218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Finkel, D., &amp; McGue, M. (1993). The origins of individual differences in memory among the elderly: A behavior genetic analysis.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Psychology and Aging, 8</w:t>
      </w:r>
      <w:r w:rsidRPr="000C2417">
        <w:rPr>
          <w:rFonts w:ascii="Times New Roman" w:hAnsi="Times New Roman" w:cs="Times New Roman"/>
          <w:sz w:val="24"/>
          <w:szCs w:val="24"/>
        </w:rPr>
        <w:t xml:space="preserve">(4), 527–537. </w:t>
      </w:r>
      <w:hyperlink r:id="rId16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10.1037/0882-7974.8.4.527</w:t>
        </w:r>
      </w:hyperlink>
    </w:p>
    <w:p w:rsidR="00F02275" w:rsidRPr="000C2417" w:rsidRDefault="00F02275" w:rsidP="00F0227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/>
          <w:sz w:val="24"/>
          <w:szCs w:val="24"/>
          <w:shd w:val="clear" w:color="auto" w:fill="FFFFFF"/>
        </w:rPr>
        <w:t>Gardiner, G., Sauerberger, K., Funder, D., &amp; Yeung, W. L. V. (2019). Towards meaningful comparisons of personality in large-scale cross-cultural studies. In A. Realo (Ed.), </w:t>
      </w:r>
      <w:r w:rsidRPr="000C241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 praise of an inquisitive mind: A Festschrift in honor of Jüri Allik on the occasion of his 70th birthday</w:t>
      </w:r>
      <w:r w:rsidRPr="000C2417">
        <w:rPr>
          <w:rFonts w:ascii="Times New Roman" w:hAnsi="Times New Roman"/>
          <w:sz w:val="24"/>
          <w:szCs w:val="24"/>
          <w:shd w:val="clear" w:color="auto" w:fill="FFFFFF"/>
        </w:rPr>
        <w:t> (pp. 123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hAnsi="Times New Roman"/>
          <w:sz w:val="24"/>
          <w:szCs w:val="24"/>
          <w:shd w:val="clear" w:color="auto" w:fill="FFFFFF"/>
        </w:rPr>
        <w:t>139). University of Estonia Press.</w:t>
      </w:r>
    </w:p>
    <w:p w:rsidR="00F02275" w:rsidRPr="000C2417" w:rsidRDefault="00F02275" w:rsidP="00F022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Gomez, V., Grob, A., &amp; Orth, U. (2013). The adaptive power of the present: Perceptions of past, present, and future life satisfaction across the life span.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Research in Personality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47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(5), 626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633. </w:t>
      </w:r>
      <w:hyperlink r:id="rId17" w:tgtFrame="_blank" w:tooltip="Persistent link using digital object identifier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https://doi.org/10.1016/j.jrp.2013.06.001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  <w:lang w:val="de-DE"/>
        </w:rPr>
        <w:t xml:space="preserve">Gygli, S., Haelg, F., Potrafke, N., &amp; Sturm, J.-E. (2019). </w:t>
      </w:r>
      <w:r w:rsidRPr="000C2417">
        <w:rPr>
          <w:rFonts w:ascii="Times New Roman" w:hAnsi="Times New Roman" w:cs="Times New Roman"/>
          <w:sz w:val="24"/>
          <w:szCs w:val="24"/>
        </w:rPr>
        <w:t xml:space="preserve">The KOF Globalisation Index – revisited.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The Review of International Organizations, 14</w:t>
      </w:r>
      <w:r w:rsidRPr="000C2417">
        <w:rPr>
          <w:rFonts w:ascii="Times New Roman" w:hAnsi="Times New Roman" w:cs="Times New Roman"/>
          <w:sz w:val="24"/>
          <w:szCs w:val="24"/>
        </w:rPr>
        <w:t xml:space="preserve">(3), 543–574. </w:t>
      </w:r>
      <w:hyperlink r:id="rId18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10.1007/s11558-019-09344-2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Hofstede, G., &amp; McCrae, R. R. (2004). Personality and Culture Revisited: Linking Traits and Dimensions of Culture.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Cross-Cultural Research, 38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52–88. </w:t>
      </w:r>
      <w:hyperlink r:id="rId19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10.1177/1069397103259443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Hu, L., &amp; Bentler, P. M. (1999). Cutoff criteria for fit indexes in covariance structure analysis: Conventional criteria versus new alternatives. 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</w:rPr>
        <w:t>Structural Equation Modeling: A Multidisciplinary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(1), 1–55. 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10.1080/10705519909540118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Hur, Y.-M., &amp; Bouchard, T. J. (1995). Genetic Influences on Perceptions of Childhood Family Environment: A Reared Apart Twin Study.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Child Development, 66</w:t>
      </w:r>
      <w:r w:rsidRPr="000C2417">
        <w:rPr>
          <w:rFonts w:ascii="Times New Roman" w:hAnsi="Times New Roman" w:cs="Times New Roman"/>
          <w:sz w:val="24"/>
          <w:szCs w:val="24"/>
        </w:rPr>
        <w:t xml:space="preserve">(2), 330–345. </w:t>
      </w:r>
      <w:hyperlink r:id="rId21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10.1111/j.1467-8624.1995.tb00874.x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Jang, K. L., Livesley, W. J., Ando, J., Yamagata, S., Suzuki, A., Angleitner, A., ... &amp;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Spinath, F. (2006). Behavioral genetics of the higher-order factors of the Big Five.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Personality and individual Differences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41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(2), 261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272. </w:t>
      </w:r>
      <w:hyperlink r:id="rId22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10.1016/j.paid.2005.11.033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Jang, K. L., Livesley, W. J., Angleitner, A., Riemann, R., &amp; Vernon, P. A. (2002). Genetic and environmental influences on the covariance of facets defining the domains of the five-factor model of personality.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Personality and Individual Differences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33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(1), 83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101. </w:t>
      </w:r>
      <w:hyperlink r:id="rId23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10.1016/S0191-8869(01)00137-4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Kagitcibasi, C. (2005). Autonomy and Relatedness in Cultural Context.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Journal of Cross-Cultural Psychology, 36</w:t>
      </w:r>
      <w:r w:rsidRPr="000C2417">
        <w:rPr>
          <w:rFonts w:ascii="Times New Roman" w:hAnsi="Times New Roman" w:cs="Times New Roman"/>
          <w:sz w:val="24"/>
          <w:szCs w:val="24"/>
        </w:rPr>
        <w:t xml:space="preserve">(4), 403–422. </w:t>
      </w:r>
      <w:hyperlink r:id="rId24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10.1177/0022022105275959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lastRenderedPageBreak/>
        <w:t xml:space="preserve">Kandler, C., Riemann, R., &amp; Kämpfe, N. (2008). Genetic and Environmental Mediation Between Measures of Personality and Family Environment in Twins Reared Together.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Behavior Genetics, 39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24–35. </w:t>
      </w:r>
      <w:hyperlink r:id="rId25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https://doi.org/10.1007/s10519-008-9238-8</w:t>
        </w:r>
      </w:hyperlink>
      <w:r w:rsidRPr="000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Knežević, G., Džamonja-Ignjatović, T., &amp; Đurić-Jočić, D. (2004).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Petofaktorski model ličnosti [Five factor model of personality]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. Centar za primenjenu psihologiju.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Little, T. D. (1997). Mean and covariance structures (MACS) analyses of cross-cultural data: Practical and theoretical issues.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Multivariate behavioral research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(1), 53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76. </w:t>
      </w:r>
      <w:hyperlink r:id="rId26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https://doi.org/10.1207/s15327906mbr3201_3</w:t>
        </w:r>
      </w:hyperlink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"http://doi.org/10.2298/soc0303193l" </w:instrTex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</w:p>
    <w:p w:rsidR="00F02275" w:rsidRPr="000C2417" w:rsidRDefault="00F02275" w:rsidP="00F02275">
      <w:pPr>
        <w:tabs>
          <w:tab w:val="left" w:pos="1843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0C2417">
        <w:rPr>
          <w:rFonts w:ascii="Times New Roman" w:hAnsi="Times New Roman" w:cs="Times New Roman"/>
          <w:sz w:val="24"/>
          <w:szCs w:val="24"/>
        </w:rPr>
        <w:t xml:space="preserve">Manuck, S. B., &amp; McCaffery, J. M. (2014). Gene-Environment Interaction.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Annual Review of Psychology, 65</w:t>
      </w:r>
      <w:r w:rsidRPr="000C2417">
        <w:rPr>
          <w:rFonts w:ascii="Times New Roman" w:hAnsi="Times New Roman" w:cs="Times New Roman"/>
          <w:sz w:val="24"/>
          <w:szCs w:val="24"/>
        </w:rPr>
        <w:t xml:space="preserve">(1), 41–70. </w:t>
      </w:r>
      <w:hyperlink r:id="rId27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10.1146/annurev-psych-010213-115100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Markus, H. R., &amp; Kitayama, S. (1991). Cultural variation in the self-concept. In J. </w:t>
      </w:r>
      <w:r w:rsidRPr="000C2417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Strauss &amp; G. R. Goethals (Eds.),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self: Interdisciplinary approaches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 (pp. 18-48). Springer.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Meunier, J. C., Roskam, I., &amp; Browne, D. T. (2010). Relations between parenting and child behavior: Exploring the child’s personality and parental self-efficacy as third variables.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International Journal of Behavioral Development, 35</w:t>
      </w:r>
      <w:r w:rsidRPr="000C2417">
        <w:rPr>
          <w:rFonts w:ascii="Times New Roman" w:hAnsi="Times New Roman" w:cs="Times New Roman"/>
          <w:sz w:val="24"/>
          <w:szCs w:val="24"/>
        </w:rPr>
        <w:t xml:space="preserve">(3), 246–259. </w:t>
      </w:r>
      <w:hyperlink r:id="rId28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10.1177/0165025410382950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Oniszczenko, W., Angleitner, A., Strelau, J., &amp; Angert, T. (1993).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 xml:space="preserve">The questionnaire of twins’ physical resemblance. </w:t>
      </w:r>
      <w:r w:rsidRPr="000C2417">
        <w:rPr>
          <w:rFonts w:ascii="Times New Roman" w:hAnsi="Times New Roman" w:cs="Times New Roman"/>
          <w:sz w:val="24"/>
          <w:szCs w:val="24"/>
        </w:rPr>
        <w:t>Unpublished questionnaire, University of Warsaw, Poland, and University of Bielefeld, Germany.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Ostendorf, F., &amp; Angleitner, A. (2004).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Neo-Persönlichkeitsinventar nach Costa und McCrae: Neo-PI-R; Manual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Hogrefe.</w:t>
      </w:r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Plomin, R., DeFries, J. C., McClearn, G. E., &amp; McGuffin, P. (2008). </w:t>
      </w:r>
      <w:r w:rsidRPr="000C2417">
        <w:rPr>
          <w:rFonts w:ascii="Times New Roman" w:hAnsi="Times New Roman" w:cs="Times New Roman"/>
          <w:i/>
          <w:sz w:val="24"/>
          <w:szCs w:val="24"/>
        </w:rPr>
        <w:t xml:space="preserve">Behavioral genetics </w:t>
      </w:r>
      <w:r w:rsidRPr="000C2417">
        <w:rPr>
          <w:rFonts w:ascii="Times New Roman" w:hAnsi="Times New Roman" w:cs="Times New Roman"/>
          <w:iCs/>
          <w:sz w:val="24"/>
          <w:szCs w:val="24"/>
        </w:rPr>
        <w:t>(5th ed.).</w:t>
      </w:r>
      <w:r w:rsidRPr="000C2417">
        <w:rPr>
          <w:rFonts w:ascii="Times New Roman" w:hAnsi="Times New Roman" w:cs="Times New Roman"/>
          <w:sz w:val="24"/>
          <w:szCs w:val="24"/>
        </w:rPr>
        <w:t xml:space="preserve"> Worth Publishers. </w:t>
      </w:r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Podrug, N., Filipović, D., &amp; Stančić, I. (2014). Analysis of cultural differences between Croatia, Brazil, Germany and Serbia.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Ekonomska istraživanja – Ekonomska istraživanja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27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(1), 818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829. </w:t>
      </w:r>
      <w:hyperlink r:id="rId29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https://doi.org/10.1080/1331677X.2014.974915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Posthuma, D. (2009). Multivariate Genetic Analysis. In Y.-K. Kim (Ed.), 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Behavior Genetics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 (pp. 47–59). </w:t>
      </w:r>
      <w:r w:rsidRPr="000C24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Springer. 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instrText xml:space="preserve"> HYPERLINK "http://doi.org/10.1007/978-0-387-76727-7_4" </w:instrTex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0C2417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 xml:space="preserve"> http://doi.org/</w:t>
      </w:r>
      <w:r w:rsidRPr="000C24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10.1007/978-0-387-76727-7_4</w:t>
      </w:r>
    </w:p>
    <w:p w:rsidR="00F02275" w:rsidRPr="000C2417" w:rsidRDefault="00F02275" w:rsidP="00F02275">
      <w:pPr>
        <w:tabs>
          <w:tab w:val="left" w:pos="567"/>
        </w:tabs>
        <w:spacing w:after="0" w:line="240" w:lineRule="auto"/>
        <w:ind w:left="709" w:hanging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0C2417">
        <w:rPr>
          <w:rFonts w:ascii="Times New Roman" w:hAnsi="Times New Roman" w:cs="Times New Roman"/>
          <w:sz w:val="24"/>
          <w:szCs w:val="24"/>
          <w:lang w:val="de-DE"/>
        </w:rPr>
        <w:t xml:space="preserve">Reed, T., Plassman, B. L., Tanner, C. M., Dick, D. M., Rinehart, S. A., &amp; Nichols, W. C. (2005). </w:t>
      </w:r>
      <w:r w:rsidRPr="000C2417">
        <w:rPr>
          <w:rFonts w:ascii="Times New Roman" w:hAnsi="Times New Roman" w:cs="Times New Roman"/>
          <w:sz w:val="24"/>
          <w:szCs w:val="24"/>
        </w:rPr>
        <w:t xml:space="preserve">Verification of self-report of zygosity determined via DNA testing in a subset of the NAS-NRC twin registry 40 years later.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Twin Research and Human Genetics, 8</w:t>
      </w:r>
      <w:r w:rsidRPr="000C2417">
        <w:rPr>
          <w:rFonts w:ascii="Times New Roman" w:hAnsi="Times New Roman" w:cs="Times New Roman"/>
          <w:sz w:val="24"/>
          <w:szCs w:val="24"/>
        </w:rPr>
        <w:t xml:space="preserve">(4), 362–367. </w:t>
      </w:r>
      <w:hyperlink r:id="rId30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https://doi.org/10.1375/1832427054936763</w:t>
        </w:r>
      </w:hyperlink>
      <w:r w:rsidRPr="000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75" w:rsidRPr="000C2417" w:rsidRDefault="00F02275" w:rsidP="00F02275">
      <w:pPr>
        <w:tabs>
          <w:tab w:val="left" w:pos="567"/>
        </w:tabs>
        <w:spacing w:after="0" w:line="240" w:lineRule="auto"/>
        <w:ind w:left="709" w:hanging="708"/>
        <w:contextualSpacing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2417">
        <w:rPr>
          <w:rFonts w:ascii="Times New Roman" w:eastAsia="Times New Roman" w:hAnsi="Times New Roman" w:cs="Times New Roman"/>
          <w:sz w:val="24"/>
          <w:szCs w:val="24"/>
        </w:rPr>
        <w:t>Rosseel, Y. (2012). lavaan: An R Package for Structural Equation Modeling.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Statistical Software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>, 48(2), 1</w:t>
      </w:r>
      <w:r w:rsidRPr="000C2417">
        <w:rPr>
          <w:rFonts w:ascii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>36. URL: </w:t>
      </w:r>
      <w:hyperlink r:id="rId31" w:history="1"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http://www.jstatsoft.org/v48/i02/</w:t>
        </w:r>
      </w:hyperlink>
    </w:p>
    <w:p w:rsidR="00F02275" w:rsidRPr="000C2417" w:rsidRDefault="00F02275" w:rsidP="00F02275">
      <w:pPr>
        <w:tabs>
          <w:tab w:val="left" w:pos="567"/>
        </w:tabs>
        <w:spacing w:after="0" w:line="240" w:lineRule="auto"/>
        <w:ind w:left="709" w:hanging="708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2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Sadiković, S., Smederevac, S., Mitrović, D., &amp; Milovanović, I. (2019). Behavioral genetics foundations of relations between personality traits and satisfaction with life. </w:t>
      </w:r>
      <w:r w:rsidRPr="000C2417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Primenjena Psihologija, 11</w:t>
      </w:r>
      <w:r w:rsidRPr="000C2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(4), 487–502. </w:t>
      </w:r>
      <w:hyperlink r:id="rId32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https://doi.org/10.19090/pp.2018.4.487-502</w:t>
        </w:r>
      </w:hyperlink>
      <w:r w:rsidRPr="000C2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Savić, B. (2014). Where is Serbia? Traditions of Spatial Identity and State Positioning in Serbian Geopolitical Culture.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Geopolitics, 19</w:t>
      </w:r>
      <w:r w:rsidRPr="000C2417">
        <w:rPr>
          <w:rFonts w:ascii="Times New Roman" w:hAnsi="Times New Roman" w:cs="Times New Roman"/>
          <w:sz w:val="24"/>
          <w:szCs w:val="24"/>
        </w:rPr>
        <w:t xml:space="preserve">(3), 684–718. </w:t>
      </w:r>
      <w:hyperlink r:id="rId33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10.1080/14650045.2014.915808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Scarr, S., &amp; McCartney, K. (1983). How People Make Their Own Environments: A Theory of Genotype - Environment Effects.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Child Development, 54</w:t>
      </w:r>
      <w:r w:rsidRPr="000C2417">
        <w:rPr>
          <w:rFonts w:ascii="Times New Roman" w:hAnsi="Times New Roman" w:cs="Times New Roman"/>
          <w:sz w:val="24"/>
          <w:szCs w:val="24"/>
        </w:rPr>
        <w:t xml:space="preserve">(2), 424–435. </w:t>
      </w:r>
      <w:hyperlink r:id="rId34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10.2307/1129703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Shikishima, C., Hiraishi, K., Takahashi, Y., Yamagata, S., Yamaguchi, S., &amp; Ando, J. (2018). Genetic and environmental etiology of stability and changes in self-esteem linked to personality: A Japanese twin study.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Personality and Individual Differences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121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140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146. </w:t>
      </w:r>
      <w:hyperlink r:id="rId35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10.1016/j.paid.2017.09.013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Shikishima, C., Hiraishi, K., Yamagata, S., Neiderhiser, J. M., &amp; Ando, J. (2012). Culture Moderates the Genetic and Environmental Etiologies of Parenting.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lastRenderedPageBreak/>
        <w:t>Psychological and Personality Science, 4</w:t>
      </w:r>
      <w:r w:rsidRPr="000C2417">
        <w:rPr>
          <w:rFonts w:ascii="Times New Roman" w:hAnsi="Times New Roman" w:cs="Times New Roman"/>
          <w:sz w:val="24"/>
          <w:szCs w:val="24"/>
        </w:rPr>
        <w:t xml:space="preserve">(4), 434–444. </w:t>
      </w:r>
      <w:hyperlink r:id="rId36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10.1177/1948550612460058</w:t>
        </w:r>
      </w:hyperlink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</w:rPr>
        <w:t xml:space="preserve">Smederevac, S., Mitrović, D., Sadiković, S., Milovanović, I., Branovački, B., Dinić, B. M., Nikolašević, Ž., Kodžopeljić, J., Bugarski Ignjatović, V., Semnic, M., Vujanić Stankov, T., Vučinić, N., Oljača, M., Pajić, D., Stojadinović, A., Krstić, T., &amp; Milutinović, A. (2019). Serbian Twin Registry.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Twin Research and Human Genetics, 22</w:t>
      </w:r>
      <w:r w:rsidRPr="000C2417">
        <w:rPr>
          <w:rFonts w:ascii="Times New Roman" w:hAnsi="Times New Roman" w:cs="Times New Roman"/>
          <w:sz w:val="24"/>
          <w:szCs w:val="24"/>
        </w:rPr>
        <w:t xml:space="preserve">(6), 660–666. </w:t>
      </w:r>
      <w:hyperlink r:id="rId37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https://doi.org/10.1017/thg.2019.114</w:t>
        </w:r>
      </w:hyperlink>
      <w:r w:rsidRPr="000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75" w:rsidRPr="000C2417" w:rsidRDefault="00F02275" w:rsidP="00F02275">
      <w:pPr>
        <w:tabs>
          <w:tab w:val="left" w:pos="3690"/>
        </w:tabs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Tsuang, M. T., Bar, J. L., Stone, W. S., &amp; Faraone, S. V. (2004). Gene-environment interactions in mental disorders. </w:t>
      </w:r>
      <w:r w:rsidRPr="000C2417">
        <w:rPr>
          <w:rFonts w:ascii="Times New Roman" w:eastAsia="Times New Roman" w:hAnsi="Times New Roman" w:cs="Times New Roman"/>
          <w:i/>
          <w:sz w:val="24"/>
          <w:szCs w:val="24"/>
        </w:rPr>
        <w:t>World Psychiatry, 3,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 xml:space="preserve"> 73–83. URL: </w:t>
      </w:r>
      <w:hyperlink r:id="rId38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https://www.ncbi.nlm.nih.gov/pmc/articles/PMC1414673/</w:t>
        </w:r>
      </w:hyperlink>
    </w:p>
    <w:p w:rsidR="00F02275" w:rsidRPr="000C2417" w:rsidRDefault="00F02275" w:rsidP="00F0227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2417">
        <w:rPr>
          <w:rFonts w:ascii="Times New Roman" w:hAnsi="Times New Roman"/>
          <w:sz w:val="24"/>
          <w:szCs w:val="24"/>
        </w:rPr>
        <w:t xml:space="preserve">Vásquez, I. &amp; Porčnik, T. (2018). The Human Freedom Index 2018. </w:t>
      </w:r>
      <w:r w:rsidRPr="000C2417">
        <w:rPr>
          <w:rFonts w:ascii="Times New Roman" w:hAnsi="Times New Roman"/>
          <w:sz w:val="24"/>
          <w:szCs w:val="24"/>
          <w:shd w:val="clear" w:color="auto" w:fill="FFFFFF"/>
        </w:rPr>
        <w:t xml:space="preserve">Cato Institute, Fraser Institute, Friedrich Naumann Foundation for Freedom. Retrieved from </w:t>
      </w:r>
      <w:hyperlink r:id="rId39" w:history="1">
        <w:r w:rsidRPr="000C2417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https://object.cato.org/sites/cato.org/files/human-freedom-index-files/human-freedom-index-2018-revised.pdf</w:t>
        </w:r>
      </w:hyperlink>
      <w:r w:rsidRPr="000C2417">
        <w:rPr>
          <w:rFonts w:ascii="Times New Roman" w:hAnsi="Times New Roman"/>
          <w:sz w:val="24"/>
          <w:szCs w:val="24"/>
        </w:rPr>
        <w:t xml:space="preserve"> </w:t>
      </w:r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  <w:lang w:val="de-DE"/>
        </w:rPr>
        <w:t xml:space="preserve">Vinkhuyzen, A. A. E., van der Sluis, S., de Geus, E. J. C., Boomsma, D. I., &amp; Posthuma, D. (2010). </w:t>
      </w:r>
      <w:r w:rsidRPr="000C2417">
        <w:rPr>
          <w:rFonts w:ascii="Times New Roman" w:hAnsi="Times New Roman" w:cs="Times New Roman"/>
          <w:sz w:val="24"/>
          <w:szCs w:val="24"/>
        </w:rPr>
        <w:t xml:space="preserve">Genetic influences on “environmental” factors. </w:t>
      </w:r>
      <w:r w:rsidRPr="000C2417">
        <w:rPr>
          <w:rFonts w:ascii="Times New Roman" w:hAnsi="Times New Roman" w:cs="Times New Roman"/>
          <w:i/>
          <w:iCs/>
          <w:sz w:val="24"/>
          <w:szCs w:val="24"/>
        </w:rPr>
        <w:t>Genes, Brain and Behavior, 9</w:t>
      </w:r>
      <w:r w:rsidRPr="000C2417">
        <w:rPr>
          <w:rFonts w:ascii="Times New Roman" w:hAnsi="Times New Roman" w:cs="Times New Roman"/>
          <w:sz w:val="24"/>
          <w:szCs w:val="24"/>
        </w:rPr>
        <w:t xml:space="preserve">(3), 276–287. </w:t>
      </w:r>
      <w:hyperlink r:id="rId40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10.1111/j.1601-183x.2009.00554.x</w:t>
        </w:r>
      </w:hyperlink>
    </w:p>
    <w:p w:rsidR="00F02275" w:rsidRPr="000C2417" w:rsidRDefault="00F02275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Vukasović, T., &amp; Bratko, D. (2015). Heritability of personality: a meta-analysis of behavior genetic studies.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Psychological Bulletin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C24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141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(4), 769</w:t>
      </w:r>
      <w:r w:rsidRPr="000C24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2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785. </w:t>
      </w:r>
      <w:hyperlink r:id="rId41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http://doi.org/</w:t>
        </w:r>
        <w:r w:rsidRPr="000C24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10.1037/bul0000017</w:t>
        </w:r>
      </w:hyperlink>
    </w:p>
    <w:p w:rsidR="00F02275" w:rsidRPr="000C2417" w:rsidRDefault="00F02275" w:rsidP="00F02275">
      <w:pPr>
        <w:spacing w:line="24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>World Bank. (2015). "C02 Emissions (Metric Tons Per Capita)."</w:t>
      </w:r>
      <w:r w:rsidRPr="000C24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24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World Development Indicators</w:t>
      </w:r>
      <w:r w:rsidRPr="000C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World Bank Group. Retrieved from </w:t>
      </w:r>
      <w:hyperlink r:id="rId42" w:history="1">
        <w:r w:rsidRPr="000C24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https://data.worldbank.org/indicator/NY.GDP.PCAP.CD?locations=DE-RS</w:t>
        </w:r>
      </w:hyperlink>
    </w:p>
    <w:p w:rsidR="001F2DA8" w:rsidRPr="007313E2" w:rsidRDefault="001F2DA8" w:rsidP="00F02275">
      <w:pPr>
        <w:tabs>
          <w:tab w:val="left" w:pos="456"/>
        </w:tabs>
        <w:spacing w:after="0" w:line="240" w:lineRule="auto"/>
        <w:ind w:left="709" w:hanging="720"/>
        <w:rPr>
          <w:rFonts w:ascii="Times New Roman" w:hAnsi="Times New Roman" w:cs="Times New Roman"/>
          <w:noProof w:val="0"/>
          <w:sz w:val="24"/>
          <w:szCs w:val="24"/>
        </w:rPr>
      </w:pPr>
    </w:p>
    <w:sectPr w:rsidR="001F2DA8" w:rsidRPr="007313E2" w:rsidSect="006530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89A" w:rsidRDefault="00E6789A" w:rsidP="00E84516">
      <w:pPr>
        <w:spacing w:after="0" w:line="240" w:lineRule="auto"/>
      </w:pPr>
      <w:r>
        <w:separator/>
      </w:r>
    </w:p>
  </w:endnote>
  <w:endnote w:type="continuationSeparator" w:id="0">
    <w:p w:rsidR="00E6789A" w:rsidRDefault="00E6789A" w:rsidP="00E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89A" w:rsidRDefault="00E6789A" w:rsidP="00E84516">
      <w:pPr>
        <w:spacing w:after="0" w:line="240" w:lineRule="auto"/>
      </w:pPr>
      <w:r>
        <w:separator/>
      </w:r>
    </w:p>
  </w:footnote>
  <w:footnote w:type="continuationSeparator" w:id="0">
    <w:p w:rsidR="00E6789A" w:rsidRDefault="00E6789A" w:rsidP="00E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835274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6A4" w:rsidRDefault="00444B5F">
        <w:pPr>
          <w:pStyle w:val="Header"/>
          <w:jc w:val="right"/>
        </w:pPr>
        <w:r>
          <w:fldChar w:fldCharType="begin"/>
        </w:r>
        <w:r w:rsidR="00B84CEC">
          <w:instrText xml:space="preserve"> PAGE   \* MERGEFORMAT </w:instrText>
        </w:r>
        <w:r>
          <w:fldChar w:fldCharType="separate"/>
        </w:r>
        <w:r w:rsidR="00782B21">
          <w:t>3</w:t>
        </w:r>
        <w:r>
          <w:fldChar w:fldCharType="end"/>
        </w:r>
      </w:p>
    </w:sdtContent>
  </w:sdt>
  <w:p w:rsidR="00A966A4" w:rsidRPr="00E84516" w:rsidRDefault="00A966A4" w:rsidP="00E84516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2F39"/>
    <w:multiLevelType w:val="hybridMultilevel"/>
    <w:tmpl w:val="8CEA53BE"/>
    <w:lvl w:ilvl="0" w:tplc="19EE1262">
      <w:start w:val="4"/>
      <w:numFmt w:val="decimal"/>
      <w:lvlText w:val="%1."/>
      <w:lvlJc w:val="left"/>
      <w:pPr>
        <w:ind w:left="36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417" w:hanging="360"/>
      </w:pPr>
    </w:lvl>
    <w:lvl w:ilvl="2" w:tplc="241A001B" w:tentative="1">
      <w:start w:val="1"/>
      <w:numFmt w:val="lowerRoman"/>
      <w:lvlText w:val="%3."/>
      <w:lvlJc w:val="right"/>
      <w:pPr>
        <w:ind w:left="5137" w:hanging="180"/>
      </w:pPr>
    </w:lvl>
    <w:lvl w:ilvl="3" w:tplc="241A000F" w:tentative="1">
      <w:start w:val="1"/>
      <w:numFmt w:val="decimal"/>
      <w:lvlText w:val="%4."/>
      <w:lvlJc w:val="left"/>
      <w:pPr>
        <w:ind w:left="5857" w:hanging="360"/>
      </w:pPr>
    </w:lvl>
    <w:lvl w:ilvl="4" w:tplc="241A0019" w:tentative="1">
      <w:start w:val="1"/>
      <w:numFmt w:val="lowerLetter"/>
      <w:lvlText w:val="%5."/>
      <w:lvlJc w:val="left"/>
      <w:pPr>
        <w:ind w:left="6577" w:hanging="360"/>
      </w:pPr>
    </w:lvl>
    <w:lvl w:ilvl="5" w:tplc="241A001B" w:tentative="1">
      <w:start w:val="1"/>
      <w:numFmt w:val="lowerRoman"/>
      <w:lvlText w:val="%6."/>
      <w:lvlJc w:val="right"/>
      <w:pPr>
        <w:ind w:left="7297" w:hanging="180"/>
      </w:pPr>
    </w:lvl>
    <w:lvl w:ilvl="6" w:tplc="241A000F" w:tentative="1">
      <w:start w:val="1"/>
      <w:numFmt w:val="decimal"/>
      <w:lvlText w:val="%7."/>
      <w:lvlJc w:val="left"/>
      <w:pPr>
        <w:ind w:left="8017" w:hanging="360"/>
      </w:pPr>
    </w:lvl>
    <w:lvl w:ilvl="7" w:tplc="241A0019" w:tentative="1">
      <w:start w:val="1"/>
      <w:numFmt w:val="lowerLetter"/>
      <w:lvlText w:val="%8."/>
      <w:lvlJc w:val="left"/>
      <w:pPr>
        <w:ind w:left="8737" w:hanging="360"/>
      </w:pPr>
    </w:lvl>
    <w:lvl w:ilvl="8" w:tplc="241A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217C3A57"/>
    <w:multiLevelType w:val="multilevel"/>
    <w:tmpl w:val="956CE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573902"/>
    <w:multiLevelType w:val="multilevel"/>
    <w:tmpl w:val="A33CD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13702E"/>
    <w:multiLevelType w:val="hybridMultilevel"/>
    <w:tmpl w:val="ADDEA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436F5"/>
    <w:multiLevelType w:val="multilevel"/>
    <w:tmpl w:val="2A5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90B92"/>
    <w:multiLevelType w:val="multilevel"/>
    <w:tmpl w:val="BA94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5A414F"/>
    <w:multiLevelType w:val="multilevel"/>
    <w:tmpl w:val="8CF2CB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C9C2304"/>
    <w:multiLevelType w:val="multilevel"/>
    <w:tmpl w:val="2544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43B4523"/>
    <w:multiLevelType w:val="multilevel"/>
    <w:tmpl w:val="1BBEB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707486395">
    <w:abstractNumId w:val="3"/>
  </w:num>
  <w:num w:numId="2" w16cid:durableId="1612518246">
    <w:abstractNumId w:val="5"/>
  </w:num>
  <w:num w:numId="3" w16cid:durableId="1825930723">
    <w:abstractNumId w:val="2"/>
  </w:num>
  <w:num w:numId="4" w16cid:durableId="119761408">
    <w:abstractNumId w:val="1"/>
  </w:num>
  <w:num w:numId="5" w16cid:durableId="1580555853">
    <w:abstractNumId w:val="7"/>
  </w:num>
  <w:num w:numId="6" w16cid:durableId="1869488825">
    <w:abstractNumId w:val="6"/>
  </w:num>
  <w:num w:numId="7" w16cid:durableId="999189173">
    <w:abstractNumId w:val="0"/>
  </w:num>
  <w:num w:numId="8" w16cid:durableId="2012489648">
    <w:abstractNumId w:val="8"/>
  </w:num>
  <w:num w:numId="9" w16cid:durableId="450516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E"/>
    <w:rsid w:val="000001B4"/>
    <w:rsid w:val="00010B77"/>
    <w:rsid w:val="000112D1"/>
    <w:rsid w:val="00011533"/>
    <w:rsid w:val="00012764"/>
    <w:rsid w:val="00015020"/>
    <w:rsid w:val="00017311"/>
    <w:rsid w:val="000206C8"/>
    <w:rsid w:val="00022FEC"/>
    <w:rsid w:val="0002320B"/>
    <w:rsid w:val="000238EF"/>
    <w:rsid w:val="00024322"/>
    <w:rsid w:val="00026340"/>
    <w:rsid w:val="00026BE9"/>
    <w:rsid w:val="0003328B"/>
    <w:rsid w:val="00036DCE"/>
    <w:rsid w:val="00037D7E"/>
    <w:rsid w:val="00041789"/>
    <w:rsid w:val="00042D3E"/>
    <w:rsid w:val="0004474B"/>
    <w:rsid w:val="00051D97"/>
    <w:rsid w:val="00054A82"/>
    <w:rsid w:val="00055D2F"/>
    <w:rsid w:val="00061537"/>
    <w:rsid w:val="0007373A"/>
    <w:rsid w:val="00076716"/>
    <w:rsid w:val="000768A8"/>
    <w:rsid w:val="00077897"/>
    <w:rsid w:val="00081CBA"/>
    <w:rsid w:val="00085152"/>
    <w:rsid w:val="000875A0"/>
    <w:rsid w:val="00091142"/>
    <w:rsid w:val="00093F3D"/>
    <w:rsid w:val="000A0D76"/>
    <w:rsid w:val="000A4F80"/>
    <w:rsid w:val="000B3F8F"/>
    <w:rsid w:val="000B4C9A"/>
    <w:rsid w:val="000B51FA"/>
    <w:rsid w:val="000B5397"/>
    <w:rsid w:val="000B5BA2"/>
    <w:rsid w:val="000B5DA6"/>
    <w:rsid w:val="000B76EB"/>
    <w:rsid w:val="000C743C"/>
    <w:rsid w:val="000D5810"/>
    <w:rsid w:val="000D607F"/>
    <w:rsid w:val="000D71CA"/>
    <w:rsid w:val="000E0082"/>
    <w:rsid w:val="000E2276"/>
    <w:rsid w:val="000E3610"/>
    <w:rsid w:val="000E440D"/>
    <w:rsid w:val="000E665F"/>
    <w:rsid w:val="000E7106"/>
    <w:rsid w:val="000E7C76"/>
    <w:rsid w:val="000F0790"/>
    <w:rsid w:val="000F22BC"/>
    <w:rsid w:val="000F3106"/>
    <w:rsid w:val="000F5E31"/>
    <w:rsid w:val="00102FC3"/>
    <w:rsid w:val="001044E1"/>
    <w:rsid w:val="001058EC"/>
    <w:rsid w:val="001071EC"/>
    <w:rsid w:val="001104E1"/>
    <w:rsid w:val="0011247F"/>
    <w:rsid w:val="001127C7"/>
    <w:rsid w:val="00113C11"/>
    <w:rsid w:val="00116B75"/>
    <w:rsid w:val="00116CFF"/>
    <w:rsid w:val="00125768"/>
    <w:rsid w:val="0013321D"/>
    <w:rsid w:val="00133CE8"/>
    <w:rsid w:val="001345F9"/>
    <w:rsid w:val="00135163"/>
    <w:rsid w:val="001421DF"/>
    <w:rsid w:val="0014244E"/>
    <w:rsid w:val="00142642"/>
    <w:rsid w:val="00143A6F"/>
    <w:rsid w:val="00146616"/>
    <w:rsid w:val="00147A7E"/>
    <w:rsid w:val="00147EFB"/>
    <w:rsid w:val="00151DA4"/>
    <w:rsid w:val="001528C6"/>
    <w:rsid w:val="00154848"/>
    <w:rsid w:val="001548AB"/>
    <w:rsid w:val="00155AA0"/>
    <w:rsid w:val="00160911"/>
    <w:rsid w:val="001679AA"/>
    <w:rsid w:val="00167B3A"/>
    <w:rsid w:val="00172351"/>
    <w:rsid w:val="00172E48"/>
    <w:rsid w:val="001736CC"/>
    <w:rsid w:val="00174D92"/>
    <w:rsid w:val="00175354"/>
    <w:rsid w:val="00177074"/>
    <w:rsid w:val="00177579"/>
    <w:rsid w:val="00183C8B"/>
    <w:rsid w:val="001851CF"/>
    <w:rsid w:val="00185D3D"/>
    <w:rsid w:val="001879A0"/>
    <w:rsid w:val="00195E1A"/>
    <w:rsid w:val="00197551"/>
    <w:rsid w:val="001A049B"/>
    <w:rsid w:val="001A1B19"/>
    <w:rsid w:val="001A620F"/>
    <w:rsid w:val="001B204A"/>
    <w:rsid w:val="001B2A08"/>
    <w:rsid w:val="001B4E1B"/>
    <w:rsid w:val="001B5834"/>
    <w:rsid w:val="001C02BE"/>
    <w:rsid w:val="001C2D5C"/>
    <w:rsid w:val="001C2E7F"/>
    <w:rsid w:val="001C2F6D"/>
    <w:rsid w:val="001C4785"/>
    <w:rsid w:val="001D0EFA"/>
    <w:rsid w:val="001D0F3B"/>
    <w:rsid w:val="001D4B5E"/>
    <w:rsid w:val="001D5721"/>
    <w:rsid w:val="001D5B39"/>
    <w:rsid w:val="001D70FD"/>
    <w:rsid w:val="001E1248"/>
    <w:rsid w:val="001E540D"/>
    <w:rsid w:val="001F281B"/>
    <w:rsid w:val="001F2B32"/>
    <w:rsid w:val="001F2DA8"/>
    <w:rsid w:val="001F5996"/>
    <w:rsid w:val="00200E88"/>
    <w:rsid w:val="00201FD1"/>
    <w:rsid w:val="0020497F"/>
    <w:rsid w:val="00204A6E"/>
    <w:rsid w:val="00212436"/>
    <w:rsid w:val="00214D15"/>
    <w:rsid w:val="00221484"/>
    <w:rsid w:val="0022253C"/>
    <w:rsid w:val="002240CD"/>
    <w:rsid w:val="00225091"/>
    <w:rsid w:val="00225DCE"/>
    <w:rsid w:val="00226906"/>
    <w:rsid w:val="00226E70"/>
    <w:rsid w:val="00230CB6"/>
    <w:rsid w:val="00231305"/>
    <w:rsid w:val="002329FB"/>
    <w:rsid w:val="002332E1"/>
    <w:rsid w:val="00235EF8"/>
    <w:rsid w:val="00245CC5"/>
    <w:rsid w:val="002500CC"/>
    <w:rsid w:val="002544CA"/>
    <w:rsid w:val="002606DF"/>
    <w:rsid w:val="0026279D"/>
    <w:rsid w:val="00263837"/>
    <w:rsid w:val="00265D46"/>
    <w:rsid w:val="00265EB5"/>
    <w:rsid w:val="00274482"/>
    <w:rsid w:val="00277771"/>
    <w:rsid w:val="002809DD"/>
    <w:rsid w:val="00280F03"/>
    <w:rsid w:val="002869EA"/>
    <w:rsid w:val="0029356C"/>
    <w:rsid w:val="00294DE2"/>
    <w:rsid w:val="00296ADD"/>
    <w:rsid w:val="002A030E"/>
    <w:rsid w:val="002A2D52"/>
    <w:rsid w:val="002A5BD1"/>
    <w:rsid w:val="002A6D05"/>
    <w:rsid w:val="002B0346"/>
    <w:rsid w:val="002B1E79"/>
    <w:rsid w:val="002B5743"/>
    <w:rsid w:val="002C5527"/>
    <w:rsid w:val="002C668F"/>
    <w:rsid w:val="002D1600"/>
    <w:rsid w:val="002D16E1"/>
    <w:rsid w:val="002D23FC"/>
    <w:rsid w:val="002E1185"/>
    <w:rsid w:val="002E37EF"/>
    <w:rsid w:val="002E544F"/>
    <w:rsid w:val="002E5EEB"/>
    <w:rsid w:val="002E6528"/>
    <w:rsid w:val="002F10F5"/>
    <w:rsid w:val="002F166A"/>
    <w:rsid w:val="002F4415"/>
    <w:rsid w:val="002F5031"/>
    <w:rsid w:val="002F6A0D"/>
    <w:rsid w:val="00301F12"/>
    <w:rsid w:val="00302BB3"/>
    <w:rsid w:val="00305C56"/>
    <w:rsid w:val="00310A43"/>
    <w:rsid w:val="00313297"/>
    <w:rsid w:val="00316F32"/>
    <w:rsid w:val="00320B2F"/>
    <w:rsid w:val="0033028D"/>
    <w:rsid w:val="00331EAD"/>
    <w:rsid w:val="003320C7"/>
    <w:rsid w:val="00334240"/>
    <w:rsid w:val="00337B5E"/>
    <w:rsid w:val="00340D9A"/>
    <w:rsid w:val="0034541B"/>
    <w:rsid w:val="00346FAE"/>
    <w:rsid w:val="00351E74"/>
    <w:rsid w:val="00356815"/>
    <w:rsid w:val="003568AB"/>
    <w:rsid w:val="00357BFB"/>
    <w:rsid w:val="00360B93"/>
    <w:rsid w:val="003614A1"/>
    <w:rsid w:val="00363D57"/>
    <w:rsid w:val="003675A7"/>
    <w:rsid w:val="00370ACE"/>
    <w:rsid w:val="0037130C"/>
    <w:rsid w:val="00373677"/>
    <w:rsid w:val="00375163"/>
    <w:rsid w:val="00376168"/>
    <w:rsid w:val="00385016"/>
    <w:rsid w:val="003901E1"/>
    <w:rsid w:val="00391480"/>
    <w:rsid w:val="003930C4"/>
    <w:rsid w:val="00394A49"/>
    <w:rsid w:val="00394F62"/>
    <w:rsid w:val="00395AA6"/>
    <w:rsid w:val="003A04FE"/>
    <w:rsid w:val="003A13D4"/>
    <w:rsid w:val="003A2DA1"/>
    <w:rsid w:val="003A7633"/>
    <w:rsid w:val="003B40D8"/>
    <w:rsid w:val="003B5709"/>
    <w:rsid w:val="003B7204"/>
    <w:rsid w:val="003C56E6"/>
    <w:rsid w:val="003C5FDD"/>
    <w:rsid w:val="003C72A2"/>
    <w:rsid w:val="003D04D4"/>
    <w:rsid w:val="003D0586"/>
    <w:rsid w:val="003D1C3B"/>
    <w:rsid w:val="003D5761"/>
    <w:rsid w:val="003D662D"/>
    <w:rsid w:val="003D67A9"/>
    <w:rsid w:val="003E1590"/>
    <w:rsid w:val="003E2850"/>
    <w:rsid w:val="003F189E"/>
    <w:rsid w:val="003F18A6"/>
    <w:rsid w:val="003F333E"/>
    <w:rsid w:val="003F380F"/>
    <w:rsid w:val="003F3DCF"/>
    <w:rsid w:val="003F40C1"/>
    <w:rsid w:val="003F5179"/>
    <w:rsid w:val="003F6200"/>
    <w:rsid w:val="003F65C1"/>
    <w:rsid w:val="003F6E1B"/>
    <w:rsid w:val="00402A3C"/>
    <w:rsid w:val="00404FE9"/>
    <w:rsid w:val="0041094B"/>
    <w:rsid w:val="00414BF1"/>
    <w:rsid w:val="00414F6D"/>
    <w:rsid w:val="00415359"/>
    <w:rsid w:val="00420B5F"/>
    <w:rsid w:val="00420CF0"/>
    <w:rsid w:val="00421E12"/>
    <w:rsid w:val="004226F3"/>
    <w:rsid w:val="0042282B"/>
    <w:rsid w:val="0042333B"/>
    <w:rsid w:val="00432A96"/>
    <w:rsid w:val="00433BB0"/>
    <w:rsid w:val="00434289"/>
    <w:rsid w:val="004342D9"/>
    <w:rsid w:val="00434EAA"/>
    <w:rsid w:val="004401F9"/>
    <w:rsid w:val="00444B5F"/>
    <w:rsid w:val="00446B41"/>
    <w:rsid w:val="004521B8"/>
    <w:rsid w:val="00456A78"/>
    <w:rsid w:val="0045725D"/>
    <w:rsid w:val="004573A7"/>
    <w:rsid w:val="00460033"/>
    <w:rsid w:val="00463E41"/>
    <w:rsid w:val="00466FB4"/>
    <w:rsid w:val="004700CC"/>
    <w:rsid w:val="00471942"/>
    <w:rsid w:val="00472202"/>
    <w:rsid w:val="00473735"/>
    <w:rsid w:val="00473F40"/>
    <w:rsid w:val="00482D92"/>
    <w:rsid w:val="00484902"/>
    <w:rsid w:val="00484F34"/>
    <w:rsid w:val="00492D77"/>
    <w:rsid w:val="004974A2"/>
    <w:rsid w:val="004A4E5A"/>
    <w:rsid w:val="004A5B11"/>
    <w:rsid w:val="004B27ED"/>
    <w:rsid w:val="004B2DB4"/>
    <w:rsid w:val="004C5C4D"/>
    <w:rsid w:val="004C77FF"/>
    <w:rsid w:val="004C78C7"/>
    <w:rsid w:val="004D43A7"/>
    <w:rsid w:val="004D6BF3"/>
    <w:rsid w:val="004E2BE1"/>
    <w:rsid w:val="004E2D40"/>
    <w:rsid w:val="004E2DF1"/>
    <w:rsid w:val="004E78A1"/>
    <w:rsid w:val="004F0AEA"/>
    <w:rsid w:val="004F4B64"/>
    <w:rsid w:val="004F5F63"/>
    <w:rsid w:val="004F7A21"/>
    <w:rsid w:val="0050325C"/>
    <w:rsid w:val="00507E05"/>
    <w:rsid w:val="00516236"/>
    <w:rsid w:val="0052061D"/>
    <w:rsid w:val="005255EF"/>
    <w:rsid w:val="0052583D"/>
    <w:rsid w:val="005276DE"/>
    <w:rsid w:val="00530963"/>
    <w:rsid w:val="00533EA8"/>
    <w:rsid w:val="00537F6E"/>
    <w:rsid w:val="005449A7"/>
    <w:rsid w:val="00554583"/>
    <w:rsid w:val="005571CA"/>
    <w:rsid w:val="005608E2"/>
    <w:rsid w:val="00560A5E"/>
    <w:rsid w:val="00564DFF"/>
    <w:rsid w:val="00566FBE"/>
    <w:rsid w:val="00572249"/>
    <w:rsid w:val="00581FF0"/>
    <w:rsid w:val="00583367"/>
    <w:rsid w:val="00596F26"/>
    <w:rsid w:val="005A0F71"/>
    <w:rsid w:val="005A3F0B"/>
    <w:rsid w:val="005A46A4"/>
    <w:rsid w:val="005A730C"/>
    <w:rsid w:val="005B173D"/>
    <w:rsid w:val="005B2F48"/>
    <w:rsid w:val="005B776E"/>
    <w:rsid w:val="005C02E6"/>
    <w:rsid w:val="005C3270"/>
    <w:rsid w:val="005C4F4E"/>
    <w:rsid w:val="005C5D2B"/>
    <w:rsid w:val="005D2EB1"/>
    <w:rsid w:val="005D3B0A"/>
    <w:rsid w:val="005D4B7F"/>
    <w:rsid w:val="005D4D7C"/>
    <w:rsid w:val="005D6ADC"/>
    <w:rsid w:val="005D7724"/>
    <w:rsid w:val="005E03FC"/>
    <w:rsid w:val="005E640C"/>
    <w:rsid w:val="005E7612"/>
    <w:rsid w:val="005F040A"/>
    <w:rsid w:val="005F3D58"/>
    <w:rsid w:val="005F412A"/>
    <w:rsid w:val="005F44EB"/>
    <w:rsid w:val="00600406"/>
    <w:rsid w:val="00600782"/>
    <w:rsid w:val="006014EE"/>
    <w:rsid w:val="00602561"/>
    <w:rsid w:val="00605DBC"/>
    <w:rsid w:val="00613644"/>
    <w:rsid w:val="00615893"/>
    <w:rsid w:val="006206FF"/>
    <w:rsid w:val="00620A1C"/>
    <w:rsid w:val="00620BC6"/>
    <w:rsid w:val="0062263A"/>
    <w:rsid w:val="0062464F"/>
    <w:rsid w:val="0062646A"/>
    <w:rsid w:val="00630241"/>
    <w:rsid w:val="006327B6"/>
    <w:rsid w:val="0064063B"/>
    <w:rsid w:val="0064140C"/>
    <w:rsid w:val="00645032"/>
    <w:rsid w:val="0064504B"/>
    <w:rsid w:val="00650B4B"/>
    <w:rsid w:val="00651A63"/>
    <w:rsid w:val="006530FC"/>
    <w:rsid w:val="006536EA"/>
    <w:rsid w:val="00653DE3"/>
    <w:rsid w:val="0065603A"/>
    <w:rsid w:val="00657A17"/>
    <w:rsid w:val="00657C7E"/>
    <w:rsid w:val="0066413C"/>
    <w:rsid w:val="006675BC"/>
    <w:rsid w:val="00667DAC"/>
    <w:rsid w:val="006823B6"/>
    <w:rsid w:val="006848BB"/>
    <w:rsid w:val="00686DF1"/>
    <w:rsid w:val="00687225"/>
    <w:rsid w:val="00695E48"/>
    <w:rsid w:val="006A663B"/>
    <w:rsid w:val="006A6C5B"/>
    <w:rsid w:val="006B0191"/>
    <w:rsid w:val="006B0A9B"/>
    <w:rsid w:val="006B50B6"/>
    <w:rsid w:val="006C07F1"/>
    <w:rsid w:val="006C1135"/>
    <w:rsid w:val="006C5306"/>
    <w:rsid w:val="006C7B21"/>
    <w:rsid w:val="006D1471"/>
    <w:rsid w:val="006E1716"/>
    <w:rsid w:val="006E23C3"/>
    <w:rsid w:val="006E2F76"/>
    <w:rsid w:val="006E433C"/>
    <w:rsid w:val="006E743F"/>
    <w:rsid w:val="006F2F02"/>
    <w:rsid w:val="006F4546"/>
    <w:rsid w:val="006F7793"/>
    <w:rsid w:val="00700CF0"/>
    <w:rsid w:val="0071176B"/>
    <w:rsid w:val="00712065"/>
    <w:rsid w:val="00712D35"/>
    <w:rsid w:val="00712FE9"/>
    <w:rsid w:val="007151F9"/>
    <w:rsid w:val="00716185"/>
    <w:rsid w:val="00716F2F"/>
    <w:rsid w:val="00721966"/>
    <w:rsid w:val="00722BBB"/>
    <w:rsid w:val="00724665"/>
    <w:rsid w:val="00724BA1"/>
    <w:rsid w:val="00727AAD"/>
    <w:rsid w:val="007313B8"/>
    <w:rsid w:val="007313E2"/>
    <w:rsid w:val="00737475"/>
    <w:rsid w:val="00745F5A"/>
    <w:rsid w:val="00754618"/>
    <w:rsid w:val="0075728E"/>
    <w:rsid w:val="00765373"/>
    <w:rsid w:val="00780152"/>
    <w:rsid w:val="00782B21"/>
    <w:rsid w:val="00785F3B"/>
    <w:rsid w:val="00787929"/>
    <w:rsid w:val="00790561"/>
    <w:rsid w:val="007909AA"/>
    <w:rsid w:val="007937BD"/>
    <w:rsid w:val="00795036"/>
    <w:rsid w:val="0079530F"/>
    <w:rsid w:val="007A4FBA"/>
    <w:rsid w:val="007B0688"/>
    <w:rsid w:val="007B3532"/>
    <w:rsid w:val="007B5522"/>
    <w:rsid w:val="007B6737"/>
    <w:rsid w:val="007B6891"/>
    <w:rsid w:val="007C0E19"/>
    <w:rsid w:val="007C4F65"/>
    <w:rsid w:val="007D52E8"/>
    <w:rsid w:val="007E197A"/>
    <w:rsid w:val="007E3DB8"/>
    <w:rsid w:val="007E4A71"/>
    <w:rsid w:val="007E5250"/>
    <w:rsid w:val="007E5BDF"/>
    <w:rsid w:val="007F13A6"/>
    <w:rsid w:val="00805218"/>
    <w:rsid w:val="00806E91"/>
    <w:rsid w:val="00811365"/>
    <w:rsid w:val="008113AF"/>
    <w:rsid w:val="0081574E"/>
    <w:rsid w:val="00817AAB"/>
    <w:rsid w:val="00821A6E"/>
    <w:rsid w:val="008227E6"/>
    <w:rsid w:val="0082282A"/>
    <w:rsid w:val="008243CF"/>
    <w:rsid w:val="0082458B"/>
    <w:rsid w:val="00825278"/>
    <w:rsid w:val="00834A48"/>
    <w:rsid w:val="00836F33"/>
    <w:rsid w:val="00837402"/>
    <w:rsid w:val="00837A8F"/>
    <w:rsid w:val="00842C96"/>
    <w:rsid w:val="008468D6"/>
    <w:rsid w:val="00852229"/>
    <w:rsid w:val="0085303B"/>
    <w:rsid w:val="008558FA"/>
    <w:rsid w:val="00856BC9"/>
    <w:rsid w:val="00866773"/>
    <w:rsid w:val="00871929"/>
    <w:rsid w:val="008732A7"/>
    <w:rsid w:val="00881FF9"/>
    <w:rsid w:val="008825A4"/>
    <w:rsid w:val="0088368F"/>
    <w:rsid w:val="00893C71"/>
    <w:rsid w:val="00896148"/>
    <w:rsid w:val="008A032A"/>
    <w:rsid w:val="008A0E7B"/>
    <w:rsid w:val="008A24BD"/>
    <w:rsid w:val="008A2E5D"/>
    <w:rsid w:val="008A4CF3"/>
    <w:rsid w:val="008A70A3"/>
    <w:rsid w:val="008A7A95"/>
    <w:rsid w:val="008C612B"/>
    <w:rsid w:val="008C7435"/>
    <w:rsid w:val="008D0A8E"/>
    <w:rsid w:val="008D1DB2"/>
    <w:rsid w:val="008D2FCC"/>
    <w:rsid w:val="008D6F93"/>
    <w:rsid w:val="008D75E8"/>
    <w:rsid w:val="008E10EE"/>
    <w:rsid w:val="008F05D3"/>
    <w:rsid w:val="008F47BC"/>
    <w:rsid w:val="008F6D8F"/>
    <w:rsid w:val="009020FC"/>
    <w:rsid w:val="00902148"/>
    <w:rsid w:val="0090464E"/>
    <w:rsid w:val="00906FD2"/>
    <w:rsid w:val="00912405"/>
    <w:rsid w:val="009135E4"/>
    <w:rsid w:val="00916582"/>
    <w:rsid w:val="00916618"/>
    <w:rsid w:val="00921818"/>
    <w:rsid w:val="00922203"/>
    <w:rsid w:val="00922620"/>
    <w:rsid w:val="00926293"/>
    <w:rsid w:val="00926358"/>
    <w:rsid w:val="009266BC"/>
    <w:rsid w:val="0092740B"/>
    <w:rsid w:val="00927FCB"/>
    <w:rsid w:val="009315B1"/>
    <w:rsid w:val="00934BF0"/>
    <w:rsid w:val="0093793A"/>
    <w:rsid w:val="00937CA6"/>
    <w:rsid w:val="0094174C"/>
    <w:rsid w:val="00943CA8"/>
    <w:rsid w:val="009443DE"/>
    <w:rsid w:val="009447C3"/>
    <w:rsid w:val="00944C27"/>
    <w:rsid w:val="00945D61"/>
    <w:rsid w:val="009463FF"/>
    <w:rsid w:val="009473E7"/>
    <w:rsid w:val="0094795A"/>
    <w:rsid w:val="00950725"/>
    <w:rsid w:val="009525DC"/>
    <w:rsid w:val="00954F26"/>
    <w:rsid w:val="00970EF2"/>
    <w:rsid w:val="009737D0"/>
    <w:rsid w:val="009738DF"/>
    <w:rsid w:val="00980CB8"/>
    <w:rsid w:val="00984140"/>
    <w:rsid w:val="009849A4"/>
    <w:rsid w:val="00984ADD"/>
    <w:rsid w:val="00984E00"/>
    <w:rsid w:val="00986A4E"/>
    <w:rsid w:val="00987A69"/>
    <w:rsid w:val="00987EDD"/>
    <w:rsid w:val="00994C60"/>
    <w:rsid w:val="00995D9E"/>
    <w:rsid w:val="00997F4E"/>
    <w:rsid w:val="009A6712"/>
    <w:rsid w:val="009A7196"/>
    <w:rsid w:val="009B2084"/>
    <w:rsid w:val="009B2E81"/>
    <w:rsid w:val="009B415A"/>
    <w:rsid w:val="009B53AE"/>
    <w:rsid w:val="009C30F8"/>
    <w:rsid w:val="009C3F32"/>
    <w:rsid w:val="009D061F"/>
    <w:rsid w:val="009D167C"/>
    <w:rsid w:val="009D64EF"/>
    <w:rsid w:val="009E06E2"/>
    <w:rsid w:val="009E1735"/>
    <w:rsid w:val="009E1CF2"/>
    <w:rsid w:val="009E582A"/>
    <w:rsid w:val="009F0224"/>
    <w:rsid w:val="009F072A"/>
    <w:rsid w:val="009F41A8"/>
    <w:rsid w:val="00A009DF"/>
    <w:rsid w:val="00A01907"/>
    <w:rsid w:val="00A01CF5"/>
    <w:rsid w:val="00A027D8"/>
    <w:rsid w:val="00A1081B"/>
    <w:rsid w:val="00A16D11"/>
    <w:rsid w:val="00A21D11"/>
    <w:rsid w:val="00A22EA2"/>
    <w:rsid w:val="00A31FB7"/>
    <w:rsid w:val="00A321B3"/>
    <w:rsid w:val="00A350ED"/>
    <w:rsid w:val="00A37839"/>
    <w:rsid w:val="00A3793E"/>
    <w:rsid w:val="00A420D9"/>
    <w:rsid w:val="00A42750"/>
    <w:rsid w:val="00A435F5"/>
    <w:rsid w:val="00A47AA8"/>
    <w:rsid w:val="00A571A3"/>
    <w:rsid w:val="00A61785"/>
    <w:rsid w:val="00A65E1D"/>
    <w:rsid w:val="00A66A0D"/>
    <w:rsid w:val="00A66CF4"/>
    <w:rsid w:val="00A71E97"/>
    <w:rsid w:val="00A726B8"/>
    <w:rsid w:val="00A738A3"/>
    <w:rsid w:val="00A73CC5"/>
    <w:rsid w:val="00A84973"/>
    <w:rsid w:val="00A87667"/>
    <w:rsid w:val="00A935EB"/>
    <w:rsid w:val="00A96095"/>
    <w:rsid w:val="00A966A4"/>
    <w:rsid w:val="00A967ED"/>
    <w:rsid w:val="00A97DDD"/>
    <w:rsid w:val="00AA1597"/>
    <w:rsid w:val="00AA42BC"/>
    <w:rsid w:val="00AB44D3"/>
    <w:rsid w:val="00AB7352"/>
    <w:rsid w:val="00AC502A"/>
    <w:rsid w:val="00AC6D15"/>
    <w:rsid w:val="00AC7253"/>
    <w:rsid w:val="00AD0258"/>
    <w:rsid w:val="00AD3512"/>
    <w:rsid w:val="00AE16DC"/>
    <w:rsid w:val="00AE5AEB"/>
    <w:rsid w:val="00AF0F41"/>
    <w:rsid w:val="00AF11B6"/>
    <w:rsid w:val="00AF40F2"/>
    <w:rsid w:val="00AF6CC0"/>
    <w:rsid w:val="00AF751E"/>
    <w:rsid w:val="00AF7585"/>
    <w:rsid w:val="00B0222D"/>
    <w:rsid w:val="00B05973"/>
    <w:rsid w:val="00B118BD"/>
    <w:rsid w:val="00B12850"/>
    <w:rsid w:val="00B148D2"/>
    <w:rsid w:val="00B17C9E"/>
    <w:rsid w:val="00B23D86"/>
    <w:rsid w:val="00B24FD6"/>
    <w:rsid w:val="00B30257"/>
    <w:rsid w:val="00B30BEC"/>
    <w:rsid w:val="00B30C0C"/>
    <w:rsid w:val="00B319BB"/>
    <w:rsid w:val="00B409E7"/>
    <w:rsid w:val="00B4343D"/>
    <w:rsid w:val="00B441FA"/>
    <w:rsid w:val="00B47F9F"/>
    <w:rsid w:val="00B5473D"/>
    <w:rsid w:val="00B55F28"/>
    <w:rsid w:val="00B5662E"/>
    <w:rsid w:val="00B56CBC"/>
    <w:rsid w:val="00B56DA9"/>
    <w:rsid w:val="00B6196A"/>
    <w:rsid w:val="00B70856"/>
    <w:rsid w:val="00B75845"/>
    <w:rsid w:val="00B76D45"/>
    <w:rsid w:val="00B802E3"/>
    <w:rsid w:val="00B8322D"/>
    <w:rsid w:val="00B84CEC"/>
    <w:rsid w:val="00BA48F7"/>
    <w:rsid w:val="00BB4642"/>
    <w:rsid w:val="00BB54BD"/>
    <w:rsid w:val="00BB64C4"/>
    <w:rsid w:val="00BB75ED"/>
    <w:rsid w:val="00BC0F17"/>
    <w:rsid w:val="00BC71FA"/>
    <w:rsid w:val="00BC791C"/>
    <w:rsid w:val="00BD09CB"/>
    <w:rsid w:val="00BE3EBF"/>
    <w:rsid w:val="00BE7101"/>
    <w:rsid w:val="00BF2A09"/>
    <w:rsid w:val="00C00F58"/>
    <w:rsid w:val="00C0129F"/>
    <w:rsid w:val="00C053B6"/>
    <w:rsid w:val="00C11727"/>
    <w:rsid w:val="00C12869"/>
    <w:rsid w:val="00C12E52"/>
    <w:rsid w:val="00C1319F"/>
    <w:rsid w:val="00C17683"/>
    <w:rsid w:val="00C23AEB"/>
    <w:rsid w:val="00C244F9"/>
    <w:rsid w:val="00C2732E"/>
    <w:rsid w:val="00C325D3"/>
    <w:rsid w:val="00C3663F"/>
    <w:rsid w:val="00C36F87"/>
    <w:rsid w:val="00C37C7C"/>
    <w:rsid w:val="00C464CB"/>
    <w:rsid w:val="00C50DC0"/>
    <w:rsid w:val="00C50FBD"/>
    <w:rsid w:val="00C5403F"/>
    <w:rsid w:val="00C56303"/>
    <w:rsid w:val="00C611D3"/>
    <w:rsid w:val="00C6225D"/>
    <w:rsid w:val="00C6305C"/>
    <w:rsid w:val="00C65032"/>
    <w:rsid w:val="00C666E6"/>
    <w:rsid w:val="00C67049"/>
    <w:rsid w:val="00C673A3"/>
    <w:rsid w:val="00C67AF6"/>
    <w:rsid w:val="00C709B0"/>
    <w:rsid w:val="00C730A6"/>
    <w:rsid w:val="00C74E6A"/>
    <w:rsid w:val="00C81DFD"/>
    <w:rsid w:val="00C81F3C"/>
    <w:rsid w:val="00C84EFB"/>
    <w:rsid w:val="00C856E8"/>
    <w:rsid w:val="00CA27A5"/>
    <w:rsid w:val="00CA5282"/>
    <w:rsid w:val="00CB0D49"/>
    <w:rsid w:val="00CB3A31"/>
    <w:rsid w:val="00CB67AF"/>
    <w:rsid w:val="00CC193D"/>
    <w:rsid w:val="00CC42C1"/>
    <w:rsid w:val="00CC44F3"/>
    <w:rsid w:val="00CC5BFA"/>
    <w:rsid w:val="00CC72F4"/>
    <w:rsid w:val="00CD3195"/>
    <w:rsid w:val="00CD7A35"/>
    <w:rsid w:val="00CE3A89"/>
    <w:rsid w:val="00CE4FC5"/>
    <w:rsid w:val="00CF02DA"/>
    <w:rsid w:val="00CF2A3B"/>
    <w:rsid w:val="00CF5D7F"/>
    <w:rsid w:val="00D01123"/>
    <w:rsid w:val="00D01E22"/>
    <w:rsid w:val="00D03720"/>
    <w:rsid w:val="00D06704"/>
    <w:rsid w:val="00D06981"/>
    <w:rsid w:val="00D07C05"/>
    <w:rsid w:val="00D12CCF"/>
    <w:rsid w:val="00D149D9"/>
    <w:rsid w:val="00D16A81"/>
    <w:rsid w:val="00D2060C"/>
    <w:rsid w:val="00D268FC"/>
    <w:rsid w:val="00D3335D"/>
    <w:rsid w:val="00D3647C"/>
    <w:rsid w:val="00D40459"/>
    <w:rsid w:val="00D41574"/>
    <w:rsid w:val="00D457AB"/>
    <w:rsid w:val="00D464C6"/>
    <w:rsid w:val="00D52B1E"/>
    <w:rsid w:val="00D53651"/>
    <w:rsid w:val="00D54017"/>
    <w:rsid w:val="00D549CC"/>
    <w:rsid w:val="00D5506A"/>
    <w:rsid w:val="00D5571C"/>
    <w:rsid w:val="00D55B0F"/>
    <w:rsid w:val="00D56AEF"/>
    <w:rsid w:val="00D57506"/>
    <w:rsid w:val="00D61623"/>
    <w:rsid w:val="00D628D7"/>
    <w:rsid w:val="00D7099C"/>
    <w:rsid w:val="00D71983"/>
    <w:rsid w:val="00D72D66"/>
    <w:rsid w:val="00D73051"/>
    <w:rsid w:val="00D77CC9"/>
    <w:rsid w:val="00D8261F"/>
    <w:rsid w:val="00D83C57"/>
    <w:rsid w:val="00D86A00"/>
    <w:rsid w:val="00D908E8"/>
    <w:rsid w:val="00D90A8F"/>
    <w:rsid w:val="00D92263"/>
    <w:rsid w:val="00DA5854"/>
    <w:rsid w:val="00DA6A5B"/>
    <w:rsid w:val="00DA76D9"/>
    <w:rsid w:val="00DA77EE"/>
    <w:rsid w:val="00DA7D40"/>
    <w:rsid w:val="00DB20BF"/>
    <w:rsid w:val="00DB6E64"/>
    <w:rsid w:val="00DC01AD"/>
    <w:rsid w:val="00DC20BA"/>
    <w:rsid w:val="00DC7D10"/>
    <w:rsid w:val="00DD6D15"/>
    <w:rsid w:val="00DE04D4"/>
    <w:rsid w:val="00DE13D6"/>
    <w:rsid w:val="00DE4E93"/>
    <w:rsid w:val="00DE76BD"/>
    <w:rsid w:val="00DF1955"/>
    <w:rsid w:val="00DF6E4E"/>
    <w:rsid w:val="00E007F2"/>
    <w:rsid w:val="00E07ADA"/>
    <w:rsid w:val="00E11E82"/>
    <w:rsid w:val="00E14442"/>
    <w:rsid w:val="00E1464D"/>
    <w:rsid w:val="00E14E7E"/>
    <w:rsid w:val="00E21484"/>
    <w:rsid w:val="00E2269B"/>
    <w:rsid w:val="00E275CB"/>
    <w:rsid w:val="00E3010F"/>
    <w:rsid w:val="00E3688B"/>
    <w:rsid w:val="00E40172"/>
    <w:rsid w:val="00E40A6A"/>
    <w:rsid w:val="00E41083"/>
    <w:rsid w:val="00E41579"/>
    <w:rsid w:val="00E44939"/>
    <w:rsid w:val="00E45D77"/>
    <w:rsid w:val="00E50629"/>
    <w:rsid w:val="00E56939"/>
    <w:rsid w:val="00E607A6"/>
    <w:rsid w:val="00E63BC0"/>
    <w:rsid w:val="00E66D1F"/>
    <w:rsid w:val="00E6789A"/>
    <w:rsid w:val="00E70348"/>
    <w:rsid w:val="00E70BA0"/>
    <w:rsid w:val="00E74C72"/>
    <w:rsid w:val="00E75EB0"/>
    <w:rsid w:val="00E76E05"/>
    <w:rsid w:val="00E77D71"/>
    <w:rsid w:val="00E80B38"/>
    <w:rsid w:val="00E8396B"/>
    <w:rsid w:val="00E84516"/>
    <w:rsid w:val="00E84E64"/>
    <w:rsid w:val="00E92843"/>
    <w:rsid w:val="00E95EC9"/>
    <w:rsid w:val="00EA06D5"/>
    <w:rsid w:val="00EA1975"/>
    <w:rsid w:val="00EA2F9F"/>
    <w:rsid w:val="00EB0434"/>
    <w:rsid w:val="00EC1879"/>
    <w:rsid w:val="00EC2DFB"/>
    <w:rsid w:val="00EC70DE"/>
    <w:rsid w:val="00ED0FA9"/>
    <w:rsid w:val="00ED10EA"/>
    <w:rsid w:val="00ED39B1"/>
    <w:rsid w:val="00ED57E7"/>
    <w:rsid w:val="00EE0348"/>
    <w:rsid w:val="00EE1933"/>
    <w:rsid w:val="00EE4A00"/>
    <w:rsid w:val="00EF0965"/>
    <w:rsid w:val="00EF10E6"/>
    <w:rsid w:val="00EF1B28"/>
    <w:rsid w:val="00EF1F7B"/>
    <w:rsid w:val="00EF4E51"/>
    <w:rsid w:val="00EF53E0"/>
    <w:rsid w:val="00F015D7"/>
    <w:rsid w:val="00F02275"/>
    <w:rsid w:val="00F0263B"/>
    <w:rsid w:val="00F0626F"/>
    <w:rsid w:val="00F13E33"/>
    <w:rsid w:val="00F157C9"/>
    <w:rsid w:val="00F204FB"/>
    <w:rsid w:val="00F2239B"/>
    <w:rsid w:val="00F22DE7"/>
    <w:rsid w:val="00F24203"/>
    <w:rsid w:val="00F31B1B"/>
    <w:rsid w:val="00F34E67"/>
    <w:rsid w:val="00F35412"/>
    <w:rsid w:val="00F363DA"/>
    <w:rsid w:val="00F40EED"/>
    <w:rsid w:val="00F423F9"/>
    <w:rsid w:val="00F46663"/>
    <w:rsid w:val="00F46ED8"/>
    <w:rsid w:val="00F47ACE"/>
    <w:rsid w:val="00F51FCF"/>
    <w:rsid w:val="00F533CF"/>
    <w:rsid w:val="00F53E92"/>
    <w:rsid w:val="00F551CE"/>
    <w:rsid w:val="00F5560A"/>
    <w:rsid w:val="00F559A4"/>
    <w:rsid w:val="00F5628E"/>
    <w:rsid w:val="00F5774D"/>
    <w:rsid w:val="00F577AF"/>
    <w:rsid w:val="00F67B49"/>
    <w:rsid w:val="00F757CA"/>
    <w:rsid w:val="00F7730A"/>
    <w:rsid w:val="00F83318"/>
    <w:rsid w:val="00F84F58"/>
    <w:rsid w:val="00F933E6"/>
    <w:rsid w:val="00F94094"/>
    <w:rsid w:val="00FA172D"/>
    <w:rsid w:val="00FA6DC1"/>
    <w:rsid w:val="00FB0724"/>
    <w:rsid w:val="00FB20EA"/>
    <w:rsid w:val="00FB6B52"/>
    <w:rsid w:val="00FB6FCE"/>
    <w:rsid w:val="00FB76E0"/>
    <w:rsid w:val="00FC0E7E"/>
    <w:rsid w:val="00FC1090"/>
    <w:rsid w:val="00FC148E"/>
    <w:rsid w:val="00FC230E"/>
    <w:rsid w:val="00FC3FFA"/>
    <w:rsid w:val="00FC760A"/>
    <w:rsid w:val="00FD6E5B"/>
    <w:rsid w:val="00FE1A72"/>
    <w:rsid w:val="00FE506E"/>
    <w:rsid w:val="00FF07C7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4AF5"/>
  <w15:docId w15:val="{EB0AC25E-ED65-4C6D-952D-278789B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8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1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16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6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E41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41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41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03F"/>
    <w:rPr>
      <w:color w:val="0000FF"/>
      <w:u w:val="single"/>
    </w:rPr>
  </w:style>
  <w:style w:type="table" w:styleId="TableGrid">
    <w:name w:val="Table Grid"/>
    <w:basedOn w:val="TableNormal"/>
    <w:uiPriority w:val="39"/>
    <w:rsid w:val="00B3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9BB"/>
    <w:pPr>
      <w:spacing w:after="0" w:line="240" w:lineRule="auto"/>
    </w:pPr>
  </w:style>
  <w:style w:type="paragraph" w:styleId="Revision">
    <w:name w:val="Revision"/>
    <w:hidden/>
    <w:uiPriority w:val="99"/>
    <w:semiHidden/>
    <w:rsid w:val="00FB6FCE"/>
    <w:pPr>
      <w:spacing w:after="0" w:line="240" w:lineRule="auto"/>
    </w:pPr>
    <w:rPr>
      <w:noProof/>
    </w:rPr>
  </w:style>
  <w:style w:type="character" w:customStyle="1" w:styleId="apple-converted-space">
    <w:name w:val="apple-converted-space"/>
    <w:basedOn w:val="DefaultParagraphFont"/>
    <w:rsid w:val="00986A4E"/>
  </w:style>
  <w:style w:type="character" w:styleId="FollowedHyperlink">
    <w:name w:val="FollowedHyperlink"/>
    <w:basedOn w:val="DefaultParagraphFont"/>
    <w:uiPriority w:val="99"/>
    <w:semiHidden/>
    <w:unhideWhenUsed/>
    <w:rsid w:val="00986A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6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6B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54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8AB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A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9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603A"/>
    <w:rPr>
      <w:b/>
      <w:bCs/>
    </w:rPr>
  </w:style>
  <w:style w:type="paragraph" w:customStyle="1" w:styleId="dx-doi">
    <w:name w:val="dx-doi"/>
    <w:basedOn w:val="Normal"/>
    <w:rsid w:val="0036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i.org/10.1111/nyas.13720" TargetMode="External"/><Relationship Id="rId18" Type="http://schemas.openxmlformats.org/officeDocument/2006/relationships/hyperlink" Target="http://doi.org/10.1007/s11558-019-09344-2" TargetMode="External"/><Relationship Id="rId26" Type="http://schemas.openxmlformats.org/officeDocument/2006/relationships/hyperlink" Target="https://doi.org/10.1207/s15327906mbr3201_3" TargetMode="External"/><Relationship Id="rId39" Type="http://schemas.openxmlformats.org/officeDocument/2006/relationships/hyperlink" Target="https://object.cato.org/sites/cato.org/files/human-freedom-index-files/human-freedom-index-2018-revised.pdf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i.org/10.1111/j.1467-8624.1995.tb00874.x" TargetMode="External"/><Relationship Id="rId34" Type="http://schemas.openxmlformats.org/officeDocument/2006/relationships/hyperlink" Target="http://doi.org/10.2307/1129703" TargetMode="External"/><Relationship Id="rId42" Type="http://schemas.openxmlformats.org/officeDocument/2006/relationships/hyperlink" Target="https://data.worldbank.org/indicator/NY.GDP.PCAP.CD?locations=DE-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i.org/10.31820/pt.26.1.1" TargetMode="External"/><Relationship Id="rId17" Type="http://schemas.openxmlformats.org/officeDocument/2006/relationships/hyperlink" Target="https://doi.org/10.1016/j.jrp.2013.06.001" TargetMode="External"/><Relationship Id="rId25" Type="http://schemas.openxmlformats.org/officeDocument/2006/relationships/hyperlink" Target="https://doi.org/10.1007/s10519-008-9238-8" TargetMode="External"/><Relationship Id="rId33" Type="http://schemas.openxmlformats.org/officeDocument/2006/relationships/hyperlink" Target="http://doi.org/10.1080/14650045.2014.915808" TargetMode="External"/><Relationship Id="rId38" Type="http://schemas.openxmlformats.org/officeDocument/2006/relationships/hyperlink" Target="https://www.ncbi.nlm.nih.gov/pmc/articles/PMC1414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037/0882-7974.8.4.527" TargetMode="External"/><Relationship Id="rId20" Type="http://schemas.openxmlformats.org/officeDocument/2006/relationships/hyperlink" Target="http://doi.org/10.1080/10705519909540118" TargetMode="External"/><Relationship Id="rId29" Type="http://schemas.openxmlformats.org/officeDocument/2006/relationships/hyperlink" Target="https://doi.org/10.1080/1331677X.2014.974915" TargetMode="External"/><Relationship Id="rId41" Type="http://schemas.openxmlformats.org/officeDocument/2006/relationships/hyperlink" Target="http://doi.org/10.1037/bul0000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1621/pir.2010.0019" TargetMode="External"/><Relationship Id="rId24" Type="http://schemas.openxmlformats.org/officeDocument/2006/relationships/hyperlink" Target="http://doi.org/10.1177/0022022105275959" TargetMode="External"/><Relationship Id="rId32" Type="http://schemas.openxmlformats.org/officeDocument/2006/relationships/hyperlink" Target="https://doi.org/10.19090/pp.2018.4.487-502" TargetMode="External"/><Relationship Id="rId37" Type="http://schemas.openxmlformats.org/officeDocument/2006/relationships/hyperlink" Target="https://doi.org/10.1017/thg.2019.114" TargetMode="External"/><Relationship Id="rId40" Type="http://schemas.openxmlformats.org/officeDocument/2006/relationships/hyperlink" Target="http://doi.org/10.1111/j.1601-183x.2009.00554.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i.org/10.5281/zenodo.3514218" TargetMode="External"/><Relationship Id="rId23" Type="http://schemas.openxmlformats.org/officeDocument/2006/relationships/hyperlink" Target="http://doi.org/10.1016/S0191-8869(01)00137-4" TargetMode="External"/><Relationship Id="rId28" Type="http://schemas.openxmlformats.org/officeDocument/2006/relationships/hyperlink" Target="http://doi.org/10.1177/0165025410382950" TargetMode="External"/><Relationship Id="rId36" Type="http://schemas.openxmlformats.org/officeDocument/2006/relationships/hyperlink" Target="http://doi.org/10.1177/194855061246005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doi.org/10.1177/1069397103259443" TargetMode="External"/><Relationship Id="rId31" Type="http://schemas.openxmlformats.org/officeDocument/2006/relationships/hyperlink" Target="http://www.jstatsoft.org/v48/i02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f.io/tg9v5/" TargetMode="External"/><Relationship Id="rId14" Type="http://schemas.openxmlformats.org/officeDocument/2006/relationships/hyperlink" Target="http://doi.org/10.1146/annurev.psych.55.090902.141913" TargetMode="External"/><Relationship Id="rId22" Type="http://schemas.openxmlformats.org/officeDocument/2006/relationships/hyperlink" Target="http://doi.org/10.1016/j.paid.2005.11.033" TargetMode="External"/><Relationship Id="rId27" Type="http://schemas.openxmlformats.org/officeDocument/2006/relationships/hyperlink" Target="http://doi.org/10.1146/annurev-psych-010213-115100" TargetMode="External"/><Relationship Id="rId30" Type="http://schemas.openxmlformats.org/officeDocument/2006/relationships/hyperlink" Target="https://doi.org/10.1375/1832427054936763" TargetMode="External"/><Relationship Id="rId35" Type="http://schemas.openxmlformats.org/officeDocument/2006/relationships/hyperlink" Target="http://doi.org/10.1016/j.paid.2017.09.0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2ABF-2934-452E-9094-00C79287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Ilija Milovanovic</cp:lastModifiedBy>
  <cp:revision>2</cp:revision>
  <dcterms:created xsi:type="dcterms:W3CDTF">2023-04-04T11:54:00Z</dcterms:created>
  <dcterms:modified xsi:type="dcterms:W3CDTF">2023-04-04T11:54:00Z</dcterms:modified>
</cp:coreProperties>
</file>